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977F" w14:textId="77777777" w:rsidR="00795FB7" w:rsidRPr="00795FB7" w:rsidRDefault="00795FB7" w:rsidP="00795FB7">
      <w:pPr>
        <w:autoSpaceDE w:val="0"/>
        <w:autoSpaceDN w:val="0"/>
        <w:adjustRightInd w:val="0"/>
        <w:spacing w:after="0" w:line="240" w:lineRule="auto"/>
        <w:ind w:left="288"/>
        <w:jc w:val="center"/>
        <w:rPr>
          <w:rFonts w:cstheme="minorHAnsi"/>
          <w:b/>
          <w:bCs/>
          <w:sz w:val="32"/>
          <w:szCs w:val="32"/>
        </w:rPr>
      </w:pPr>
      <w:r w:rsidRPr="00795FB7">
        <w:rPr>
          <w:rFonts w:cstheme="minorHAnsi"/>
          <w:b/>
          <w:bCs/>
          <w:sz w:val="32"/>
          <w:szCs w:val="32"/>
        </w:rPr>
        <w:t>MT DPHHS State-Run Health Care Facilities</w:t>
      </w:r>
    </w:p>
    <w:p w14:paraId="3182AE11" w14:textId="77777777" w:rsidR="00795FB7" w:rsidRPr="00795FB7" w:rsidRDefault="00795FB7" w:rsidP="00795FB7">
      <w:pPr>
        <w:autoSpaceDE w:val="0"/>
        <w:autoSpaceDN w:val="0"/>
        <w:adjustRightInd w:val="0"/>
        <w:spacing w:after="0" w:line="240" w:lineRule="auto"/>
        <w:ind w:left="288"/>
        <w:jc w:val="center"/>
        <w:rPr>
          <w:rFonts w:cstheme="minorHAnsi"/>
          <w:b/>
          <w:bCs/>
          <w:sz w:val="32"/>
          <w:szCs w:val="32"/>
        </w:rPr>
      </w:pPr>
      <w:r w:rsidRPr="00795FB7">
        <w:rPr>
          <w:rFonts w:cstheme="minorHAnsi"/>
          <w:b/>
          <w:bCs/>
          <w:sz w:val="32"/>
          <w:szCs w:val="32"/>
        </w:rPr>
        <w:t>December 2022</w:t>
      </w:r>
    </w:p>
    <w:p w14:paraId="7D5C8E39" w14:textId="1D8BC75D" w:rsidR="00795FB7" w:rsidRPr="00795FB7" w:rsidRDefault="00795FB7" w:rsidP="00795FB7">
      <w:pPr>
        <w:autoSpaceDE w:val="0"/>
        <w:autoSpaceDN w:val="0"/>
        <w:adjustRightInd w:val="0"/>
        <w:spacing w:after="0" w:line="240" w:lineRule="auto"/>
        <w:ind w:left="288"/>
        <w:jc w:val="center"/>
        <w:rPr>
          <w:rFonts w:cstheme="minorHAnsi"/>
          <w:b/>
          <w:bCs/>
          <w:sz w:val="32"/>
          <w:szCs w:val="32"/>
        </w:rPr>
      </w:pPr>
      <w:r w:rsidRPr="00795FB7">
        <w:rPr>
          <w:rFonts w:cstheme="minorHAnsi"/>
          <w:b/>
          <w:bCs/>
          <w:sz w:val="32"/>
          <w:szCs w:val="32"/>
        </w:rPr>
        <w:t>Monthly Status Update</w:t>
      </w:r>
    </w:p>
    <w:p w14:paraId="166BEBCB" w14:textId="77777777" w:rsidR="00795FB7" w:rsidRPr="00795FB7" w:rsidRDefault="00795FB7" w:rsidP="00795FB7">
      <w:pPr>
        <w:autoSpaceDE w:val="0"/>
        <w:autoSpaceDN w:val="0"/>
        <w:adjustRightInd w:val="0"/>
        <w:spacing w:after="0" w:line="240" w:lineRule="auto"/>
        <w:ind w:left="288"/>
        <w:rPr>
          <w:rFonts w:cstheme="minorHAnsi"/>
          <w:sz w:val="24"/>
          <w:szCs w:val="24"/>
        </w:rPr>
      </w:pPr>
    </w:p>
    <w:p w14:paraId="62C92EEB" w14:textId="65A2BD8E" w:rsidR="00795FB7" w:rsidRPr="00795FB7"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795FB7">
        <w:rPr>
          <w:rFonts w:cstheme="minorHAnsi"/>
          <w:b/>
          <w:bCs/>
          <w:sz w:val="24"/>
          <w:szCs w:val="24"/>
        </w:rPr>
        <w:t>Facility Scorecard | Overview – December 31, 2022</w:t>
      </w:r>
    </w:p>
    <w:p w14:paraId="7B637016" w14:textId="77777777" w:rsidR="00795FB7" w:rsidRPr="00795FB7" w:rsidRDefault="00795FB7" w:rsidP="00795FB7">
      <w:pPr>
        <w:autoSpaceDE w:val="0"/>
        <w:autoSpaceDN w:val="0"/>
        <w:adjustRightInd w:val="0"/>
        <w:spacing w:after="0" w:line="240" w:lineRule="auto"/>
        <w:ind w:left="288"/>
        <w:rPr>
          <w:rFonts w:cstheme="minorHAnsi"/>
          <w:sz w:val="24"/>
          <w:szCs w:val="24"/>
        </w:rPr>
      </w:pPr>
    </w:p>
    <w:p w14:paraId="5B19E448" w14:textId="30CFE438" w:rsid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The overview of the December 2022 performance scorecard for Montana’s state-run health care facilities is below. To reflect the variance of performance across individual metrics by facilities, the scorecard now shows an overall status as well as targeted performance within key areas (i.e., census and staffing, budget, quality and training, and operations). SWMVH’s budget status changed from yellow to red and EMVH’s budget status changed from green to yellow due to higher projected FY23 expenses.</w:t>
      </w:r>
    </w:p>
    <w:p w14:paraId="3273054C" w14:textId="1D3C412A" w:rsidR="00795FB7" w:rsidRDefault="00795FB7" w:rsidP="00795FB7">
      <w:pPr>
        <w:autoSpaceDE w:val="0"/>
        <w:autoSpaceDN w:val="0"/>
        <w:adjustRightInd w:val="0"/>
        <w:spacing w:after="0" w:line="240" w:lineRule="auto"/>
        <w:ind w:left="288"/>
        <w:rPr>
          <w:rFonts w:cstheme="minorHAnsi"/>
          <w:sz w:val="24"/>
          <w:szCs w:val="24"/>
        </w:rPr>
      </w:pPr>
    </w:p>
    <w:tbl>
      <w:tblPr>
        <w:tblW w:w="120" w:type="dxa"/>
        <w:tblCellMar>
          <w:left w:w="0" w:type="dxa"/>
          <w:right w:w="0" w:type="dxa"/>
        </w:tblCellMar>
        <w:tblLook w:val="0420" w:firstRow="1" w:lastRow="0" w:firstColumn="0" w:lastColumn="0" w:noHBand="0" w:noVBand="1"/>
      </w:tblPr>
      <w:tblGrid>
        <w:gridCol w:w="1715"/>
        <w:gridCol w:w="1151"/>
        <w:gridCol w:w="1193"/>
        <w:gridCol w:w="1128"/>
        <w:gridCol w:w="1235"/>
        <w:gridCol w:w="1509"/>
      </w:tblGrid>
      <w:tr w:rsidR="00795FB7" w:rsidRPr="00795FB7" w14:paraId="6DEA40D9" w14:textId="77777777" w:rsidTr="00795FB7">
        <w:trPr>
          <w:trHeight w:val="1465"/>
        </w:trPr>
        <w:tc>
          <w:tcPr>
            <w:tcW w:w="20" w:type="dxa"/>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6BCF69E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Facility</w:t>
            </w:r>
          </w:p>
        </w:tc>
        <w:tc>
          <w:tcPr>
            <w:tcW w:w="20" w:type="dxa"/>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0F1D9B9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Overall Status</w:t>
            </w:r>
          </w:p>
        </w:tc>
        <w:tc>
          <w:tcPr>
            <w:tcW w:w="20"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7DE74C1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i/>
                <w:iCs/>
                <w:sz w:val="24"/>
                <w:szCs w:val="24"/>
              </w:rPr>
              <w:t>Census and Staffing</w:t>
            </w:r>
          </w:p>
        </w:tc>
        <w:tc>
          <w:tcPr>
            <w:tcW w:w="20"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2D5E224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i/>
                <w:iCs/>
                <w:sz w:val="24"/>
                <w:szCs w:val="24"/>
              </w:rPr>
              <w:t>Budget</w:t>
            </w:r>
          </w:p>
        </w:tc>
        <w:tc>
          <w:tcPr>
            <w:tcW w:w="20"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0F570D8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i/>
                <w:iCs/>
                <w:sz w:val="24"/>
                <w:szCs w:val="24"/>
              </w:rPr>
              <w:t>Quality and Training Metrics</w:t>
            </w:r>
          </w:p>
        </w:tc>
        <w:tc>
          <w:tcPr>
            <w:tcW w:w="20"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19AF1CA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i/>
                <w:iCs/>
                <w:sz w:val="24"/>
                <w:szCs w:val="24"/>
              </w:rPr>
              <w:t>Operations</w:t>
            </w:r>
          </w:p>
        </w:tc>
      </w:tr>
      <w:tr w:rsidR="00795FB7" w:rsidRPr="00795FB7" w14:paraId="0B5F993A" w14:textId="77777777" w:rsidTr="00795FB7">
        <w:trPr>
          <w:trHeight w:val="1465"/>
        </w:trPr>
        <w:tc>
          <w:tcPr>
            <w:tcW w:w="2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4EC6C86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Montana State Hospital</w:t>
            </w:r>
          </w:p>
        </w:tc>
        <w:tc>
          <w:tcPr>
            <w:tcW w:w="20"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3B03161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i/>
                <w:iCs/>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0074830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10D335E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11C7A5A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332AC8A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r>
      <w:tr w:rsidR="00795FB7" w:rsidRPr="00795FB7" w14:paraId="0D4043D4" w14:textId="77777777" w:rsidTr="00795FB7">
        <w:trPr>
          <w:trHeight w:val="1465"/>
        </w:trPr>
        <w:tc>
          <w:tcPr>
            <w:tcW w:w="2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6D8601E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Montana Mental Health Nursing Care Center</w:t>
            </w:r>
          </w:p>
        </w:tc>
        <w:tc>
          <w:tcPr>
            <w:tcW w:w="20"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4903C31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3060F6A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12E2D9E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23CD609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18FF17C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r>
      <w:tr w:rsidR="00795FB7" w:rsidRPr="00795FB7" w14:paraId="3B9E3C47" w14:textId="77777777" w:rsidTr="00795FB7">
        <w:trPr>
          <w:trHeight w:val="1465"/>
        </w:trPr>
        <w:tc>
          <w:tcPr>
            <w:tcW w:w="2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7576CC4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Intensive Behavior Center</w:t>
            </w:r>
          </w:p>
        </w:tc>
        <w:tc>
          <w:tcPr>
            <w:tcW w:w="20"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69874C0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067BB39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52A5203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23D1A39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3C7DA7E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r>
      <w:tr w:rsidR="00795FB7" w:rsidRPr="00795FB7" w14:paraId="52A487BE" w14:textId="77777777" w:rsidTr="00795FB7">
        <w:trPr>
          <w:trHeight w:val="1465"/>
        </w:trPr>
        <w:tc>
          <w:tcPr>
            <w:tcW w:w="2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407B4BF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Montana Chemical Dependency Center</w:t>
            </w:r>
          </w:p>
        </w:tc>
        <w:tc>
          <w:tcPr>
            <w:tcW w:w="20"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551DB98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062C9A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18DFF20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6255AE7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0C1311F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r>
      <w:tr w:rsidR="00795FB7" w:rsidRPr="00795FB7" w14:paraId="381A1F89" w14:textId="77777777" w:rsidTr="00795FB7">
        <w:trPr>
          <w:trHeight w:val="1465"/>
        </w:trPr>
        <w:tc>
          <w:tcPr>
            <w:tcW w:w="2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0CF8768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lastRenderedPageBreak/>
              <w:t>Columbia Falls Montana Veterans’ Home</w:t>
            </w:r>
          </w:p>
        </w:tc>
        <w:tc>
          <w:tcPr>
            <w:tcW w:w="20"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32E76E6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3837E6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1695CBA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Green</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0BB1A39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8DE02B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r>
      <w:tr w:rsidR="00795FB7" w:rsidRPr="00795FB7" w14:paraId="62D491B7" w14:textId="77777777" w:rsidTr="00795FB7">
        <w:trPr>
          <w:trHeight w:val="1465"/>
        </w:trPr>
        <w:tc>
          <w:tcPr>
            <w:tcW w:w="20" w:type="dxa"/>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5D389F7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Southwestern Montana Veterans’ Home</w:t>
            </w:r>
            <w:r w:rsidRPr="00795FB7">
              <w:rPr>
                <w:rFonts w:cstheme="minorHAnsi"/>
                <w:sz w:val="24"/>
                <w:szCs w:val="24"/>
                <w:vertAlign w:val="superscript"/>
              </w:rPr>
              <w:t>1</w:t>
            </w:r>
          </w:p>
        </w:tc>
        <w:tc>
          <w:tcPr>
            <w:tcW w:w="20"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60496F4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C3E6CE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01E4B4A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Red</w:t>
            </w:r>
          </w:p>
        </w:tc>
        <w:tc>
          <w:tcPr>
            <w:tcW w:w="20" w:type="dxa"/>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3DF369A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E29C0C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r>
      <w:tr w:rsidR="00795FB7" w:rsidRPr="00795FB7" w14:paraId="21556339" w14:textId="77777777" w:rsidTr="00795FB7">
        <w:trPr>
          <w:trHeight w:val="1465"/>
        </w:trPr>
        <w:tc>
          <w:tcPr>
            <w:tcW w:w="20" w:type="dxa"/>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0FE6FF0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Eastern Montana Veterans’ Home</w:t>
            </w:r>
            <w:r w:rsidRPr="00795FB7">
              <w:rPr>
                <w:rFonts w:cstheme="minorHAnsi"/>
                <w:sz w:val="24"/>
                <w:szCs w:val="24"/>
                <w:vertAlign w:val="superscript"/>
              </w:rPr>
              <w:t>1</w:t>
            </w:r>
          </w:p>
        </w:tc>
        <w:tc>
          <w:tcPr>
            <w:tcW w:w="20"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2BD1CE4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2AE3A93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ADEEBD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c>
          <w:tcPr>
            <w:tcW w:w="20" w:type="dxa"/>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550A303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c>
          <w:tcPr>
            <w:tcW w:w="20"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02E8356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Yellow</w:t>
            </w:r>
          </w:p>
        </w:tc>
      </w:tr>
    </w:tbl>
    <w:p w14:paraId="2B9CBB94" w14:textId="77777777" w:rsidR="00795FB7" w:rsidRPr="00795FB7" w:rsidRDefault="00795FB7" w:rsidP="00795FB7">
      <w:pPr>
        <w:autoSpaceDE w:val="0"/>
        <w:autoSpaceDN w:val="0"/>
        <w:adjustRightInd w:val="0"/>
        <w:spacing w:after="0" w:line="240" w:lineRule="auto"/>
        <w:ind w:left="288"/>
        <w:rPr>
          <w:rFonts w:cstheme="minorHAnsi"/>
          <w:sz w:val="24"/>
          <w:szCs w:val="24"/>
        </w:rPr>
      </w:pPr>
    </w:p>
    <w:p w14:paraId="4B5C6195" w14:textId="77777777" w:rsidR="00795FB7" w:rsidRDefault="00795FB7" w:rsidP="00795FB7">
      <w:pPr>
        <w:autoSpaceDE w:val="0"/>
        <w:autoSpaceDN w:val="0"/>
        <w:adjustRightInd w:val="0"/>
        <w:spacing w:after="0" w:line="240" w:lineRule="auto"/>
        <w:ind w:left="288"/>
        <w:rPr>
          <w:rFonts w:cstheme="minorHAnsi"/>
          <w:sz w:val="24"/>
          <w:szCs w:val="24"/>
        </w:rPr>
      </w:pPr>
    </w:p>
    <w:p w14:paraId="0B57821D" w14:textId="145D8ADC" w:rsidR="00795FB7" w:rsidRPr="00795FB7"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795FB7">
        <w:rPr>
          <w:rFonts w:cstheme="minorHAnsi"/>
          <w:b/>
          <w:bCs/>
          <w:sz w:val="24"/>
          <w:szCs w:val="24"/>
        </w:rPr>
        <w:t>MSH | Scorecard – December 31, 2022</w:t>
      </w:r>
    </w:p>
    <w:p w14:paraId="6DE66810" w14:textId="77777777" w:rsidR="00795FB7" w:rsidRPr="00795FB7" w:rsidRDefault="00795FB7" w:rsidP="00795FB7">
      <w:pPr>
        <w:autoSpaceDE w:val="0"/>
        <w:autoSpaceDN w:val="0"/>
        <w:adjustRightInd w:val="0"/>
        <w:spacing w:after="0" w:line="240" w:lineRule="auto"/>
        <w:ind w:left="288"/>
        <w:rPr>
          <w:rFonts w:cstheme="minorHAnsi"/>
          <w:sz w:val="24"/>
          <w:szCs w:val="24"/>
          <w:vertAlign w:val="superscript"/>
        </w:rPr>
      </w:pPr>
    </w:p>
    <w:p w14:paraId="372751DA" w14:textId="7A208684" w:rsidR="00795FB7" w:rsidRDefault="00795FB7" w:rsidP="00795FB7">
      <w:pPr>
        <w:autoSpaceDE w:val="0"/>
        <w:autoSpaceDN w:val="0"/>
        <w:adjustRightInd w:val="0"/>
        <w:spacing w:after="0" w:line="240" w:lineRule="auto"/>
        <w:ind w:left="288"/>
        <w:rPr>
          <w:rFonts w:cstheme="minorHAnsi"/>
          <w:sz w:val="24"/>
          <w:szCs w:val="24"/>
        </w:rPr>
      </w:pPr>
      <w:proofErr w:type="gramStart"/>
      <w:r w:rsidRPr="00795FB7">
        <w:rPr>
          <w:rFonts w:cstheme="minorHAnsi"/>
          <w:sz w:val="24"/>
          <w:szCs w:val="24"/>
        </w:rPr>
        <w:t>Traveler</w:t>
      </w:r>
      <w:proofErr w:type="gramEnd"/>
      <w:r w:rsidRPr="00795FB7">
        <w:rPr>
          <w:rFonts w:cstheme="minorHAnsi"/>
          <w:sz w:val="24"/>
          <w:szCs w:val="24"/>
        </w:rPr>
        <w:t xml:space="preserve"> spend at MSH continues to rise at MSH, and projected expenses in FY23 are significant compared to budget. There were a net five new employees at the facility and a slight decrease in the employee vacancy rate. Quality &amp; training metrics remained steady between November and December. There was no change in status for census &amp; staffing, budget, and quality &amp; training metrics between November and December.</w:t>
      </w:r>
    </w:p>
    <w:p w14:paraId="4CD575DB" w14:textId="34172ECC" w:rsidR="00795FB7" w:rsidRDefault="00795FB7" w:rsidP="00795FB7">
      <w:pPr>
        <w:autoSpaceDE w:val="0"/>
        <w:autoSpaceDN w:val="0"/>
        <w:adjustRightInd w:val="0"/>
        <w:spacing w:after="0" w:line="240" w:lineRule="auto"/>
        <w:ind w:left="288"/>
        <w:rPr>
          <w:rFonts w:cstheme="minorHAnsi"/>
          <w:sz w:val="24"/>
          <w:szCs w:val="24"/>
        </w:rPr>
      </w:pPr>
    </w:p>
    <w:p w14:paraId="786B1296" w14:textId="3FAFC113"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Census and Staffing: Status - Red</w:t>
      </w:r>
    </w:p>
    <w:tbl>
      <w:tblPr>
        <w:tblW w:w="9220" w:type="dxa"/>
        <w:tblCellMar>
          <w:left w:w="0" w:type="dxa"/>
          <w:right w:w="0" w:type="dxa"/>
        </w:tblCellMar>
        <w:tblLook w:val="0420" w:firstRow="1" w:lastRow="0" w:firstColumn="0" w:lastColumn="0" w:noHBand="0" w:noVBand="1"/>
      </w:tblPr>
      <w:tblGrid>
        <w:gridCol w:w="2694"/>
        <w:gridCol w:w="1938"/>
        <w:gridCol w:w="2296"/>
        <w:gridCol w:w="2292"/>
      </w:tblGrid>
      <w:tr w:rsidR="00795FB7" w:rsidRPr="00795FB7" w14:paraId="506965F7" w14:textId="77777777" w:rsidTr="00795FB7">
        <w:trPr>
          <w:trHeight w:val="312"/>
        </w:trPr>
        <w:tc>
          <w:tcPr>
            <w:tcW w:w="27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8B708E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19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0DD7BB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BDF96E8" w14:textId="77777777" w:rsidR="00795FB7" w:rsidRPr="00795FB7" w:rsidRDefault="00795FB7" w:rsidP="00795FB7">
            <w:pPr>
              <w:autoSpaceDE w:val="0"/>
              <w:autoSpaceDN w:val="0"/>
              <w:adjustRightInd w:val="0"/>
              <w:spacing w:after="0" w:line="240" w:lineRule="auto"/>
              <w:ind w:left="288"/>
              <w:rPr>
                <w:rFonts w:cstheme="minorHAnsi"/>
                <w:sz w:val="24"/>
                <w:szCs w:val="24"/>
              </w:rPr>
            </w:pPr>
            <w:proofErr w:type="gramStart"/>
            <w:r w:rsidRPr="00795FB7">
              <w:rPr>
                <w:rFonts w:cstheme="minorHAnsi"/>
                <w:b/>
                <w:bCs/>
                <w:sz w:val="24"/>
                <w:szCs w:val="24"/>
              </w:rPr>
              <w:t>December  2022</w:t>
            </w:r>
            <w:proofErr w:type="gramEnd"/>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BAD3F7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2B9DECFA" w14:textId="77777777" w:rsidTr="00795FB7">
        <w:trPr>
          <w:trHeight w:val="312"/>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79A07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Average Daily Census (%)</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0E49C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84.4%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32237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86.7%</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C86D4C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09293484" w14:textId="77777777" w:rsidTr="00795FB7">
        <w:trPr>
          <w:trHeight w:val="312"/>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98F10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Admissions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A62D0C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75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F0A0E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57</w:t>
            </w:r>
          </w:p>
        </w:tc>
        <w:tc>
          <w:tcPr>
            <w:tcW w:w="23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959E81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34D0CE82" w14:textId="77777777" w:rsidTr="00795FB7">
        <w:trPr>
          <w:trHeight w:val="312"/>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D0592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Discharges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F85B7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72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DAF16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66</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B6CB7B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0EA12575" w14:textId="77777777" w:rsidTr="00795FB7">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8F21B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Waitlist</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0CAD0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85635E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60</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E5E319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12</w:t>
            </w:r>
          </w:p>
        </w:tc>
      </w:tr>
      <w:tr w:rsidR="00795FB7" w:rsidRPr="00795FB7" w14:paraId="07C0A80E" w14:textId="77777777" w:rsidTr="00795FB7">
        <w:trPr>
          <w:trHeight w:val="520"/>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26A47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Employee Vacancy Rate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7F399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45.2%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BD1856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44.6%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FF7FD6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15%</w:t>
            </w:r>
          </w:p>
        </w:tc>
      </w:tr>
      <w:tr w:rsidR="00795FB7" w:rsidRPr="00795FB7" w14:paraId="322D7364" w14:textId="77777777" w:rsidTr="00795FB7">
        <w:trPr>
          <w:trHeight w:val="520"/>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FBDE3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Employee Turnover Rate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87C95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44E8E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A7246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1.0%</w:t>
            </w:r>
          </w:p>
        </w:tc>
      </w:tr>
      <w:tr w:rsidR="00795FB7" w:rsidRPr="00795FB7" w14:paraId="5490E7D0" w14:textId="77777777" w:rsidTr="00795FB7">
        <w:trPr>
          <w:trHeight w:val="520"/>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B09E9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Net Employee Hires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C0E9D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D78E8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84D94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+6</w:t>
            </w:r>
          </w:p>
        </w:tc>
      </w:tr>
    </w:tbl>
    <w:p w14:paraId="34652D9E" w14:textId="4DD22139" w:rsidR="00795FB7" w:rsidRDefault="00795FB7" w:rsidP="00795FB7">
      <w:pPr>
        <w:autoSpaceDE w:val="0"/>
        <w:autoSpaceDN w:val="0"/>
        <w:adjustRightInd w:val="0"/>
        <w:spacing w:after="0" w:line="240" w:lineRule="auto"/>
        <w:ind w:left="288"/>
        <w:rPr>
          <w:rFonts w:cstheme="minorHAnsi"/>
          <w:sz w:val="24"/>
          <w:szCs w:val="24"/>
        </w:rPr>
      </w:pPr>
    </w:p>
    <w:p w14:paraId="70333B7A" w14:textId="26569874"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Budget – SFY23: Status – Red</w:t>
      </w:r>
    </w:p>
    <w:tbl>
      <w:tblPr>
        <w:tblW w:w="9440" w:type="dxa"/>
        <w:tblCellMar>
          <w:left w:w="0" w:type="dxa"/>
          <w:right w:w="0" w:type="dxa"/>
        </w:tblCellMar>
        <w:tblLook w:val="0420" w:firstRow="1" w:lastRow="0" w:firstColumn="0" w:lastColumn="0" w:noHBand="0" w:noVBand="1"/>
      </w:tblPr>
      <w:tblGrid>
        <w:gridCol w:w="2772"/>
        <w:gridCol w:w="2516"/>
        <w:gridCol w:w="1860"/>
        <w:gridCol w:w="2292"/>
      </w:tblGrid>
      <w:tr w:rsidR="00795FB7" w:rsidRPr="00795FB7" w14:paraId="5D95F954" w14:textId="77777777" w:rsidTr="00795FB7">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A2915D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25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537B87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18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5AD760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A9552C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640AEBCF" w14:textId="77777777" w:rsidTr="00795FB7">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8B059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Starting Budget</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61AE1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$48,873,226</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61AD4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$48,873,226</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542859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41455459" w14:textId="77777777" w:rsidTr="00795FB7">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053FC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Actuals to Date</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6BF45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$30,055,580</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89283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xml:space="preserve">$34,669,901 </w:t>
            </w:r>
          </w:p>
        </w:tc>
        <w:tc>
          <w:tcPr>
            <w:tcW w:w="23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ED8767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3C33CE5D" w14:textId="77777777" w:rsidTr="00795FB7">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C1BF1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Projected Expenses</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CD7AC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$87,172,320</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EBE37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$87,434,103</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2781DE2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5800CBB9" w14:textId="77777777" w:rsidTr="00795FB7">
        <w:trPr>
          <w:trHeight w:val="544"/>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80A3F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Variance – Budget to Projected Expenses</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1F474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$38,299,094</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FEFF2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$38,560,877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8F857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&gt; $0</w:t>
            </w:r>
          </w:p>
        </w:tc>
      </w:tr>
      <w:tr w:rsidR="00795FB7" w:rsidRPr="00795FB7" w14:paraId="280070BF" w14:textId="77777777" w:rsidTr="00795FB7">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9464C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Cost per Bed Day</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EB07B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$1,052</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933CF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$1,004</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696888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n/a</w:t>
            </w:r>
          </w:p>
        </w:tc>
      </w:tr>
      <w:tr w:rsidR="00795FB7" w:rsidRPr="00795FB7" w14:paraId="346B3377" w14:textId="77777777" w:rsidTr="00795FB7">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F210B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Revenue to Date</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878720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$999,441</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BB7B2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$1,526,351</w:t>
            </w:r>
          </w:p>
        </w:tc>
        <w:tc>
          <w:tcPr>
            <w:tcW w:w="23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670E76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n/a</w:t>
            </w:r>
          </w:p>
        </w:tc>
      </w:tr>
      <w:tr w:rsidR="00795FB7" w:rsidRPr="00795FB7" w14:paraId="6978F971" w14:textId="77777777" w:rsidTr="00795FB7">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A2212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Monthly Traveler Spend</w:t>
            </w:r>
            <w:r w:rsidRPr="00795FB7">
              <w:rPr>
                <w:rFonts w:cstheme="minorHAnsi"/>
                <w:sz w:val="24"/>
                <w:szCs w:val="24"/>
                <w:vertAlign w:val="superscript"/>
              </w:rPr>
              <w:t>2</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DF264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$4,759,978</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0CCE38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$4,795,973</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2F40F16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n/a</w:t>
            </w:r>
          </w:p>
        </w:tc>
      </w:tr>
      <w:tr w:rsidR="00795FB7" w:rsidRPr="00795FB7" w14:paraId="6E2792D3" w14:textId="77777777" w:rsidTr="00795FB7">
        <w:trPr>
          <w:trHeight w:val="544"/>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0650C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Percent change in Traveler Spend</w:t>
            </w:r>
            <w:r w:rsidRPr="00795FB7">
              <w:rPr>
                <w:rFonts w:cstheme="minorHAnsi"/>
                <w:sz w:val="24"/>
                <w:szCs w:val="24"/>
                <w:vertAlign w:val="superscript"/>
              </w:rPr>
              <w:t>2</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5584E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D8B55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B1842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-5%</w:t>
            </w:r>
          </w:p>
        </w:tc>
      </w:tr>
    </w:tbl>
    <w:p w14:paraId="5ED705AC" w14:textId="4C2BBC02" w:rsidR="00795FB7" w:rsidRDefault="00795FB7" w:rsidP="00795FB7">
      <w:pPr>
        <w:autoSpaceDE w:val="0"/>
        <w:autoSpaceDN w:val="0"/>
        <w:adjustRightInd w:val="0"/>
        <w:spacing w:after="0" w:line="240" w:lineRule="auto"/>
        <w:ind w:left="288"/>
        <w:rPr>
          <w:rFonts w:cstheme="minorHAnsi"/>
          <w:sz w:val="24"/>
          <w:szCs w:val="24"/>
        </w:rPr>
      </w:pPr>
    </w:p>
    <w:p w14:paraId="44D876C3" w14:textId="79370665"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Status – Yellow</w:t>
      </w:r>
    </w:p>
    <w:tbl>
      <w:tblPr>
        <w:tblW w:w="5000" w:type="pct"/>
        <w:tblCellMar>
          <w:left w:w="0" w:type="dxa"/>
          <w:right w:w="0" w:type="dxa"/>
        </w:tblCellMar>
        <w:tblLook w:val="0420" w:firstRow="1" w:lastRow="0" w:firstColumn="0" w:lastColumn="0" w:noHBand="0" w:noVBand="1"/>
      </w:tblPr>
      <w:tblGrid>
        <w:gridCol w:w="3868"/>
        <w:gridCol w:w="1628"/>
        <w:gridCol w:w="1600"/>
        <w:gridCol w:w="2244"/>
      </w:tblGrid>
      <w:tr w:rsidR="00795FB7" w:rsidRPr="00795FB7" w14:paraId="0D95A6E1" w14:textId="77777777" w:rsidTr="00795FB7">
        <w:tc>
          <w:tcPr>
            <w:tcW w:w="2148"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EA2B2E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787"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2B541F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787"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EAFC37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1278"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7E9C0C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0662EF22" w14:textId="77777777" w:rsidTr="00795FB7">
        <w:tc>
          <w:tcPr>
            <w:tcW w:w="214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2FC0A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 xml:space="preserve">% </w:t>
            </w:r>
            <w:proofErr w:type="gramStart"/>
            <w:r w:rsidRPr="00795FB7">
              <w:rPr>
                <w:rFonts w:cstheme="minorHAnsi"/>
                <w:b/>
                <w:bCs/>
                <w:sz w:val="24"/>
                <w:szCs w:val="24"/>
              </w:rPr>
              <w:t>of</w:t>
            </w:r>
            <w:proofErr w:type="gramEnd"/>
            <w:r w:rsidRPr="00795FB7">
              <w:rPr>
                <w:rFonts w:cstheme="minorHAnsi"/>
                <w:b/>
                <w:bCs/>
                <w:sz w:val="24"/>
                <w:szCs w:val="24"/>
              </w:rPr>
              <w:t xml:space="preserve"> patients evaluated for Medicaid eligibility upon admission</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FDD7D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100%</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4E873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98%</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A6D5B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95%</w:t>
            </w:r>
          </w:p>
        </w:tc>
      </w:tr>
      <w:tr w:rsidR="00795FB7" w:rsidRPr="00795FB7" w14:paraId="54045F77" w14:textId="77777777" w:rsidTr="00795FB7">
        <w:tc>
          <w:tcPr>
            <w:tcW w:w="214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7CB0A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Patient attendance for group therapy sessions offered</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921DE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72%</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92374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72%</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60861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75%</w:t>
            </w:r>
          </w:p>
        </w:tc>
      </w:tr>
      <w:tr w:rsidR="00795FB7" w:rsidRPr="00795FB7" w14:paraId="0CCE9B7F" w14:textId="77777777" w:rsidTr="00795FB7">
        <w:tc>
          <w:tcPr>
            <w:tcW w:w="214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CF4CE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 xml:space="preserve">% </w:t>
            </w:r>
            <w:proofErr w:type="gramStart"/>
            <w:r w:rsidRPr="00795FB7">
              <w:rPr>
                <w:rFonts w:cstheme="minorHAnsi"/>
                <w:b/>
                <w:bCs/>
                <w:sz w:val="24"/>
                <w:szCs w:val="24"/>
              </w:rPr>
              <w:t>of</w:t>
            </w:r>
            <w:proofErr w:type="gramEnd"/>
            <w:r w:rsidRPr="00795FB7">
              <w:rPr>
                <w:rFonts w:cstheme="minorHAnsi"/>
                <w:b/>
                <w:bCs/>
                <w:sz w:val="24"/>
                <w:szCs w:val="24"/>
              </w:rPr>
              <w:t xml:space="preserve"> completed community re-entry form within 10 days of admission</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C5BFE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50%</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603BD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68%</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E56E8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90%</w:t>
            </w:r>
          </w:p>
        </w:tc>
      </w:tr>
      <w:tr w:rsidR="00795FB7" w:rsidRPr="00795FB7" w14:paraId="10F0D3B5" w14:textId="77777777" w:rsidTr="00795FB7">
        <w:tc>
          <w:tcPr>
            <w:tcW w:w="214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30182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Training Compliance</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1C434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94%</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4EA96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94%</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C6AD3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100%</w:t>
            </w:r>
          </w:p>
        </w:tc>
      </w:tr>
    </w:tbl>
    <w:p w14:paraId="0E766C39" w14:textId="28D2C70E" w:rsidR="00795FB7" w:rsidRDefault="00795FB7" w:rsidP="00795FB7">
      <w:pPr>
        <w:autoSpaceDE w:val="0"/>
        <w:autoSpaceDN w:val="0"/>
        <w:adjustRightInd w:val="0"/>
        <w:spacing w:after="0" w:line="240" w:lineRule="auto"/>
        <w:ind w:left="288"/>
        <w:rPr>
          <w:rFonts w:cstheme="minorHAnsi"/>
          <w:sz w:val="24"/>
          <w:szCs w:val="24"/>
        </w:rPr>
      </w:pPr>
    </w:p>
    <w:p w14:paraId="392B2546" w14:textId="77777777" w:rsidR="00795FB7" w:rsidRPr="00795FB7" w:rsidRDefault="00795FB7" w:rsidP="00795FB7">
      <w:pPr>
        <w:autoSpaceDE w:val="0"/>
        <w:autoSpaceDN w:val="0"/>
        <w:adjustRightInd w:val="0"/>
        <w:spacing w:after="0" w:line="240" w:lineRule="auto"/>
        <w:ind w:left="288"/>
        <w:rPr>
          <w:rFonts w:cstheme="minorHAnsi"/>
          <w:sz w:val="24"/>
          <w:szCs w:val="24"/>
        </w:rPr>
      </w:pPr>
    </w:p>
    <w:p w14:paraId="7A7BDE53" w14:textId="3DD2B193" w:rsidR="00795FB7" w:rsidRPr="00795FB7"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795FB7">
        <w:rPr>
          <w:rFonts w:cstheme="minorHAnsi"/>
          <w:b/>
          <w:bCs/>
          <w:sz w:val="24"/>
          <w:szCs w:val="24"/>
        </w:rPr>
        <w:t>MMHNCC | Scorecard – December 31, 2022</w:t>
      </w:r>
    </w:p>
    <w:p w14:paraId="4914981A" w14:textId="01AA947E" w:rsidR="00795FB7" w:rsidRDefault="00795FB7" w:rsidP="00795FB7">
      <w:pPr>
        <w:autoSpaceDE w:val="0"/>
        <w:autoSpaceDN w:val="0"/>
        <w:adjustRightInd w:val="0"/>
        <w:spacing w:after="0" w:line="240" w:lineRule="auto"/>
        <w:ind w:left="288"/>
        <w:rPr>
          <w:rFonts w:cstheme="minorHAnsi"/>
          <w:sz w:val="24"/>
          <w:szCs w:val="24"/>
        </w:rPr>
      </w:pPr>
    </w:p>
    <w:p w14:paraId="7D0D16F3" w14:textId="594F626D" w:rsid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xml:space="preserve">Employee vacancy rates at MMHNCC remain around 30 percent, though traveler spend continued to decrease in December. Training compliance dropped significantly – from 91% to 73% in December, due to staff turnover and an audit of the training data. Training courses </w:t>
      </w:r>
      <w:r w:rsidRPr="00795FB7">
        <w:rPr>
          <w:rFonts w:cstheme="minorHAnsi"/>
          <w:sz w:val="24"/>
          <w:szCs w:val="24"/>
        </w:rPr>
        <w:lastRenderedPageBreak/>
        <w:t>are planned to fill the gap in compliance. There was no change in status between November and December.</w:t>
      </w:r>
    </w:p>
    <w:p w14:paraId="557FC756" w14:textId="220F22FC" w:rsidR="00795FB7" w:rsidRDefault="00795FB7" w:rsidP="00795FB7">
      <w:pPr>
        <w:autoSpaceDE w:val="0"/>
        <w:autoSpaceDN w:val="0"/>
        <w:adjustRightInd w:val="0"/>
        <w:spacing w:after="0" w:line="240" w:lineRule="auto"/>
        <w:ind w:left="288"/>
        <w:rPr>
          <w:rFonts w:cstheme="minorHAnsi"/>
          <w:sz w:val="24"/>
          <w:szCs w:val="24"/>
        </w:rPr>
      </w:pPr>
    </w:p>
    <w:p w14:paraId="4202E51C" w14:textId="77777777"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Census and Staffing: Status - Red</w:t>
      </w:r>
    </w:p>
    <w:p w14:paraId="39BDD0E0" w14:textId="77777777" w:rsidR="00795FB7" w:rsidRPr="00795FB7" w:rsidRDefault="00795FB7" w:rsidP="00795FB7">
      <w:pPr>
        <w:autoSpaceDE w:val="0"/>
        <w:autoSpaceDN w:val="0"/>
        <w:adjustRightInd w:val="0"/>
        <w:spacing w:after="0" w:line="240" w:lineRule="auto"/>
        <w:rPr>
          <w:rFonts w:cstheme="minorHAnsi"/>
          <w:sz w:val="24"/>
          <w:szCs w:val="24"/>
        </w:rPr>
      </w:pPr>
    </w:p>
    <w:tbl>
      <w:tblPr>
        <w:tblW w:w="9220" w:type="dxa"/>
        <w:tblCellMar>
          <w:left w:w="0" w:type="dxa"/>
          <w:right w:w="0" w:type="dxa"/>
        </w:tblCellMar>
        <w:tblLook w:val="0420" w:firstRow="1" w:lastRow="0" w:firstColumn="0" w:lastColumn="0" w:noHBand="0" w:noVBand="1"/>
      </w:tblPr>
      <w:tblGrid>
        <w:gridCol w:w="2500"/>
        <w:gridCol w:w="2240"/>
        <w:gridCol w:w="2240"/>
        <w:gridCol w:w="2240"/>
      </w:tblGrid>
      <w:tr w:rsidR="00795FB7" w:rsidRPr="00795FB7" w14:paraId="7D5DFA48" w14:textId="77777777" w:rsidTr="00795FB7">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9D2A5C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22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12DB7B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22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1ED3F1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22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59A593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4A45FB2F" w14:textId="77777777" w:rsidTr="00795FB7">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5791C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Average Daily Census (%)</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80F97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57.3%</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EFAA4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56%</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63D09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&gt; 89.7%</w:t>
            </w:r>
          </w:p>
        </w:tc>
      </w:tr>
      <w:tr w:rsidR="00795FB7" w:rsidRPr="00795FB7" w14:paraId="5F25124D" w14:textId="77777777" w:rsidTr="00795FB7">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C21B1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Admissions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96D44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5A1F7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w:t>
            </w:r>
          </w:p>
        </w:tc>
        <w:tc>
          <w:tcPr>
            <w:tcW w:w="224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3765EF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3726EC6E" w14:textId="77777777" w:rsidTr="00795FB7">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3BEA2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Discharges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923C9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2A908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w:t>
            </w:r>
          </w:p>
        </w:tc>
        <w:tc>
          <w:tcPr>
            <w:tcW w:w="224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25F806B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6375AFD0" w14:textId="77777777" w:rsidTr="00795FB7">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49102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Waitlist</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FD79F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3DC63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w:t>
            </w:r>
          </w:p>
        </w:tc>
        <w:tc>
          <w:tcPr>
            <w:tcW w:w="22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3EAD83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w:t>
            </w:r>
          </w:p>
        </w:tc>
      </w:tr>
      <w:tr w:rsidR="00795FB7" w:rsidRPr="00795FB7" w14:paraId="1C1DEB79" w14:textId="77777777" w:rsidTr="00795FB7">
        <w:trPr>
          <w:trHeight w:val="520"/>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E6A5B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Employee Vacancy Rate</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71221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29.9%</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34E14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31.3%</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B371B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15%</w:t>
            </w:r>
          </w:p>
        </w:tc>
      </w:tr>
      <w:tr w:rsidR="00795FB7" w:rsidRPr="00795FB7" w14:paraId="179759E0" w14:textId="77777777" w:rsidTr="00795FB7">
        <w:trPr>
          <w:trHeight w:val="520"/>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DF4CB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Employee Turnover Rate</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8EAE1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B9AF9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8.1%</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D927B7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1.0%</w:t>
            </w:r>
          </w:p>
        </w:tc>
      </w:tr>
      <w:tr w:rsidR="00795FB7" w:rsidRPr="00795FB7" w14:paraId="0970A0E9" w14:textId="77777777" w:rsidTr="00795FB7">
        <w:trPr>
          <w:trHeight w:val="520"/>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5FB17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Net Employee Hires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27892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C4969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D23CB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+4</w:t>
            </w:r>
          </w:p>
        </w:tc>
      </w:tr>
    </w:tbl>
    <w:p w14:paraId="6C883F0E" w14:textId="041C44CF" w:rsidR="00795FB7" w:rsidRDefault="00795FB7" w:rsidP="00795FB7">
      <w:pPr>
        <w:autoSpaceDE w:val="0"/>
        <w:autoSpaceDN w:val="0"/>
        <w:adjustRightInd w:val="0"/>
        <w:spacing w:after="0" w:line="240" w:lineRule="auto"/>
        <w:ind w:left="288"/>
        <w:rPr>
          <w:rFonts w:cstheme="minorHAnsi"/>
          <w:sz w:val="24"/>
          <w:szCs w:val="24"/>
        </w:rPr>
      </w:pPr>
    </w:p>
    <w:p w14:paraId="4B886050" w14:textId="5A7C3C53"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Budget – SFY23: Status – Yellow</w:t>
      </w:r>
    </w:p>
    <w:p w14:paraId="0C74D589" w14:textId="77777777" w:rsidR="00795FB7" w:rsidRDefault="00795FB7" w:rsidP="00795FB7">
      <w:pPr>
        <w:autoSpaceDE w:val="0"/>
        <w:autoSpaceDN w:val="0"/>
        <w:adjustRightInd w:val="0"/>
        <w:spacing w:after="0" w:line="240" w:lineRule="auto"/>
        <w:ind w:left="288"/>
        <w:rPr>
          <w:rFonts w:cstheme="minorHAnsi"/>
          <w:sz w:val="24"/>
          <w:szCs w:val="24"/>
        </w:rPr>
      </w:pPr>
    </w:p>
    <w:tbl>
      <w:tblPr>
        <w:tblW w:w="9420" w:type="dxa"/>
        <w:tblCellMar>
          <w:left w:w="0" w:type="dxa"/>
          <w:right w:w="0" w:type="dxa"/>
        </w:tblCellMar>
        <w:tblLook w:val="0420" w:firstRow="1" w:lastRow="0" w:firstColumn="0" w:lastColumn="0" w:noHBand="0" w:noVBand="1"/>
      </w:tblPr>
      <w:tblGrid>
        <w:gridCol w:w="2960"/>
        <w:gridCol w:w="1940"/>
        <w:gridCol w:w="2260"/>
        <w:gridCol w:w="2260"/>
      </w:tblGrid>
      <w:tr w:rsidR="00795FB7" w:rsidRPr="00795FB7" w14:paraId="464B770E" w14:textId="77777777" w:rsidTr="00795FB7">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43E71B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19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A9E050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B348FC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A7C86C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569C4071" w14:textId="77777777" w:rsidTr="00795FB7">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232A1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Starting Budget</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13155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$12,411,241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277C8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$12,411,241</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8E14EE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6E21BFCC" w14:textId="77777777" w:rsidTr="00795FB7">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61110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Actuals to Date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D8366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$4,644,391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ABF1F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$5,841,382</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16EAE4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409EEC56" w14:textId="77777777" w:rsidTr="00795FB7">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FC7F0A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Projected Expenses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6897D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$13,581,961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95735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$12,536,095</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3F76837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2BF9FD36" w14:textId="77777777" w:rsidTr="00795FB7">
        <w:trPr>
          <w:trHeight w:val="515"/>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BDD733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Variance – Budget to Projected Expenses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9AB66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$1,170,720</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53DBE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$124,854</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27913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&gt; $0</w:t>
            </w:r>
          </w:p>
        </w:tc>
      </w:tr>
      <w:tr w:rsidR="00795FB7" w:rsidRPr="00795FB7" w14:paraId="7442FC07" w14:textId="77777777" w:rsidTr="00795FB7">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073D69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Cost per Bed Day</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FB12E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$555</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10F16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$551</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A0A9D5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n/a</w:t>
            </w:r>
          </w:p>
        </w:tc>
      </w:tr>
      <w:tr w:rsidR="00795FB7" w:rsidRPr="00795FB7" w14:paraId="261F8F7E" w14:textId="77777777" w:rsidTr="00795FB7">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CB883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Revenue to Date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3465C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$2,102,129</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31D3B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$2,429,573</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E95064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n/a</w:t>
            </w:r>
          </w:p>
        </w:tc>
      </w:tr>
      <w:tr w:rsidR="00795FB7" w:rsidRPr="00795FB7" w14:paraId="7EA89877" w14:textId="77777777" w:rsidTr="00795FB7">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D08E3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Monthly Traveler Spend</w:t>
            </w:r>
            <w:r w:rsidRPr="00795FB7">
              <w:rPr>
                <w:rFonts w:cstheme="minorHAnsi"/>
                <w:sz w:val="24"/>
                <w:szCs w:val="24"/>
                <w:vertAlign w:val="superscript"/>
              </w:rPr>
              <w:t>1</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EDC69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$141,231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E7DE6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$120,885</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84AF51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n/a</w:t>
            </w:r>
          </w:p>
        </w:tc>
      </w:tr>
      <w:tr w:rsidR="00795FB7" w:rsidRPr="00795FB7" w14:paraId="01DF6271" w14:textId="77777777" w:rsidTr="00795FB7">
        <w:trPr>
          <w:trHeight w:val="515"/>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EE00C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Percent change in Traveler Spend</w:t>
            </w:r>
            <w:r w:rsidRPr="00795FB7">
              <w:rPr>
                <w:rFonts w:cstheme="minorHAnsi"/>
                <w:sz w:val="24"/>
                <w:szCs w:val="24"/>
                <w:vertAlign w:val="superscript"/>
              </w:rPr>
              <w:t>1</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A0630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-37%</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02E43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-14%</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FB184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-10%</w:t>
            </w:r>
          </w:p>
        </w:tc>
      </w:tr>
    </w:tbl>
    <w:p w14:paraId="1E594B1E" w14:textId="6B230FFF" w:rsidR="00795FB7" w:rsidRDefault="00795FB7" w:rsidP="00795FB7">
      <w:pPr>
        <w:autoSpaceDE w:val="0"/>
        <w:autoSpaceDN w:val="0"/>
        <w:adjustRightInd w:val="0"/>
        <w:spacing w:after="0" w:line="240" w:lineRule="auto"/>
        <w:ind w:left="288"/>
        <w:rPr>
          <w:rFonts w:cstheme="minorHAnsi"/>
          <w:sz w:val="24"/>
          <w:szCs w:val="24"/>
        </w:rPr>
      </w:pPr>
    </w:p>
    <w:p w14:paraId="3B298D4B" w14:textId="32D54CFD"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Status – Yellow</w:t>
      </w:r>
    </w:p>
    <w:p w14:paraId="7FE7E831" w14:textId="77777777" w:rsidR="00795FB7" w:rsidRDefault="00795FB7" w:rsidP="00795FB7">
      <w:pPr>
        <w:autoSpaceDE w:val="0"/>
        <w:autoSpaceDN w:val="0"/>
        <w:adjustRightInd w:val="0"/>
        <w:spacing w:after="0" w:line="240" w:lineRule="auto"/>
        <w:ind w:left="288"/>
        <w:rPr>
          <w:rFonts w:cstheme="minorHAnsi"/>
          <w:sz w:val="24"/>
          <w:szCs w:val="24"/>
        </w:rPr>
      </w:pPr>
    </w:p>
    <w:tbl>
      <w:tblPr>
        <w:tblW w:w="5000" w:type="pct"/>
        <w:tblCellMar>
          <w:left w:w="0" w:type="dxa"/>
          <w:right w:w="0" w:type="dxa"/>
        </w:tblCellMar>
        <w:tblLook w:val="0420" w:firstRow="1" w:lastRow="0" w:firstColumn="0" w:lastColumn="0" w:noHBand="0" w:noVBand="1"/>
      </w:tblPr>
      <w:tblGrid>
        <w:gridCol w:w="3867"/>
        <w:gridCol w:w="1628"/>
        <w:gridCol w:w="1600"/>
        <w:gridCol w:w="2245"/>
      </w:tblGrid>
      <w:tr w:rsidR="00795FB7" w:rsidRPr="00795FB7" w14:paraId="4BF309BC"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28B675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879"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907F43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77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13158D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125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D2B29E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5909B845"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C95F7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Falls with major injuries (as % of residents)</w:t>
            </w:r>
          </w:p>
        </w:tc>
        <w:tc>
          <w:tcPr>
            <w:tcW w:w="87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5F4C5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1.4%</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007AB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70F23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0%</w:t>
            </w:r>
          </w:p>
        </w:tc>
      </w:tr>
      <w:tr w:rsidR="00795FB7" w:rsidRPr="00795FB7" w14:paraId="1B73419B"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EF0C0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 xml:space="preserve">% </w:t>
            </w:r>
            <w:proofErr w:type="gramStart"/>
            <w:r w:rsidRPr="00795FB7">
              <w:rPr>
                <w:rFonts w:cstheme="minorHAnsi"/>
                <w:b/>
                <w:bCs/>
                <w:sz w:val="24"/>
                <w:szCs w:val="24"/>
              </w:rPr>
              <w:t>of</w:t>
            </w:r>
            <w:proofErr w:type="gramEnd"/>
            <w:r w:rsidRPr="00795FB7">
              <w:rPr>
                <w:rFonts w:cstheme="minorHAnsi"/>
                <w:b/>
                <w:bCs/>
                <w:sz w:val="24"/>
                <w:szCs w:val="24"/>
              </w:rPr>
              <w:t xml:space="preserve"> patients being weighed monthly per CMS guidelines</w:t>
            </w:r>
          </w:p>
        </w:tc>
        <w:tc>
          <w:tcPr>
            <w:tcW w:w="87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AE388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95%</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BB327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95%</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8AD0A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100%</w:t>
            </w:r>
          </w:p>
        </w:tc>
      </w:tr>
      <w:tr w:rsidR="00795FB7" w:rsidRPr="00795FB7" w14:paraId="7E2CB9AA"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A88DD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 xml:space="preserve">% </w:t>
            </w:r>
            <w:proofErr w:type="gramStart"/>
            <w:r w:rsidRPr="00795FB7">
              <w:rPr>
                <w:rFonts w:cstheme="minorHAnsi"/>
                <w:b/>
                <w:bCs/>
                <w:sz w:val="24"/>
                <w:szCs w:val="24"/>
              </w:rPr>
              <w:t>of</w:t>
            </w:r>
            <w:proofErr w:type="gramEnd"/>
            <w:r w:rsidRPr="00795FB7">
              <w:rPr>
                <w:rFonts w:cstheme="minorHAnsi"/>
                <w:b/>
                <w:bCs/>
                <w:sz w:val="24"/>
                <w:szCs w:val="24"/>
              </w:rPr>
              <w:t xml:space="preserve"> residents with a UTI against the Montana state average</w:t>
            </w:r>
          </w:p>
        </w:tc>
        <w:tc>
          <w:tcPr>
            <w:tcW w:w="87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056ED6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DDDF3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C8D1F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2.9%</w:t>
            </w:r>
          </w:p>
        </w:tc>
      </w:tr>
      <w:tr w:rsidR="00795FB7" w:rsidRPr="00795FB7" w14:paraId="0BDE00E7"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DB980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Training Compliance</w:t>
            </w:r>
          </w:p>
        </w:tc>
        <w:tc>
          <w:tcPr>
            <w:tcW w:w="87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644CB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91%</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DED75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73%</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F8624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100%</w:t>
            </w:r>
          </w:p>
        </w:tc>
      </w:tr>
    </w:tbl>
    <w:p w14:paraId="37D3978C" w14:textId="77777777" w:rsidR="00795FB7" w:rsidRDefault="00795FB7" w:rsidP="00795FB7">
      <w:pPr>
        <w:autoSpaceDE w:val="0"/>
        <w:autoSpaceDN w:val="0"/>
        <w:adjustRightInd w:val="0"/>
        <w:spacing w:after="0" w:line="240" w:lineRule="auto"/>
        <w:ind w:left="288"/>
        <w:rPr>
          <w:rFonts w:cstheme="minorHAnsi"/>
          <w:sz w:val="24"/>
          <w:szCs w:val="24"/>
        </w:rPr>
      </w:pPr>
    </w:p>
    <w:p w14:paraId="7A3671C4" w14:textId="7918689E" w:rsidR="00795FB7" w:rsidRPr="00795FB7"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795FB7">
        <w:rPr>
          <w:rFonts w:cstheme="minorHAnsi"/>
          <w:b/>
          <w:bCs/>
          <w:sz w:val="24"/>
          <w:szCs w:val="24"/>
        </w:rPr>
        <w:t>IBC | Scorecard – December 31, 2022</w:t>
      </w:r>
    </w:p>
    <w:p w14:paraId="7B8A176B" w14:textId="77777777" w:rsidR="00795FB7" w:rsidRDefault="00795FB7" w:rsidP="00795FB7">
      <w:pPr>
        <w:autoSpaceDE w:val="0"/>
        <w:autoSpaceDN w:val="0"/>
        <w:adjustRightInd w:val="0"/>
        <w:spacing w:after="0" w:line="240" w:lineRule="auto"/>
        <w:ind w:left="288"/>
        <w:rPr>
          <w:rFonts w:cstheme="minorHAnsi"/>
          <w:sz w:val="24"/>
          <w:szCs w:val="24"/>
        </w:rPr>
      </w:pPr>
    </w:p>
    <w:p w14:paraId="15B77866" w14:textId="3BF75D34" w:rsid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IBC continues to struggle with high employee vacancy rates, with two-thirds of their positions vacant. Attendance at community outings increased, but there was not significant progress on behavior support plans or training compliance. A third quality metric will be added for January.</w:t>
      </w:r>
    </w:p>
    <w:p w14:paraId="1BBF5ED2" w14:textId="585393BE" w:rsidR="00795FB7" w:rsidRDefault="00795FB7" w:rsidP="00795FB7">
      <w:pPr>
        <w:autoSpaceDE w:val="0"/>
        <w:autoSpaceDN w:val="0"/>
        <w:adjustRightInd w:val="0"/>
        <w:spacing w:after="0" w:line="240" w:lineRule="auto"/>
        <w:ind w:left="288"/>
        <w:rPr>
          <w:rFonts w:cstheme="minorHAnsi"/>
          <w:sz w:val="24"/>
          <w:szCs w:val="24"/>
        </w:rPr>
      </w:pPr>
    </w:p>
    <w:p w14:paraId="1957C075" w14:textId="15C284F6"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Census &amp; Staffing: Status – Red</w:t>
      </w:r>
    </w:p>
    <w:p w14:paraId="255D1B02" w14:textId="77777777" w:rsidR="00795FB7" w:rsidRDefault="00795FB7" w:rsidP="00795FB7">
      <w:pPr>
        <w:autoSpaceDE w:val="0"/>
        <w:autoSpaceDN w:val="0"/>
        <w:adjustRightInd w:val="0"/>
        <w:spacing w:after="0" w:line="240" w:lineRule="auto"/>
        <w:ind w:left="288"/>
        <w:rPr>
          <w:rFonts w:cstheme="minorHAnsi"/>
          <w:sz w:val="24"/>
          <w:szCs w:val="24"/>
        </w:rPr>
      </w:pPr>
    </w:p>
    <w:tbl>
      <w:tblPr>
        <w:tblW w:w="9180" w:type="dxa"/>
        <w:tblCellMar>
          <w:left w:w="0" w:type="dxa"/>
          <w:right w:w="0" w:type="dxa"/>
        </w:tblCellMar>
        <w:tblLook w:val="0420" w:firstRow="1" w:lastRow="0" w:firstColumn="0" w:lastColumn="0" w:noHBand="0" w:noVBand="1"/>
      </w:tblPr>
      <w:tblGrid>
        <w:gridCol w:w="2555"/>
        <w:gridCol w:w="2037"/>
        <w:gridCol w:w="2296"/>
        <w:gridCol w:w="2292"/>
      </w:tblGrid>
      <w:tr w:rsidR="00795FB7" w:rsidRPr="00795FB7" w14:paraId="56C8730A"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A3B105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6EEDF2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4F2C2B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023C1A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7DC32340"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F224E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Average Daily Census (%)</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7E2BF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83.3%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6AC86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83.3%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097E1E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&gt; 91.7</w:t>
            </w:r>
          </w:p>
        </w:tc>
      </w:tr>
      <w:tr w:rsidR="00795FB7" w:rsidRPr="00795FB7" w14:paraId="39877803"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2C4C8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7FCD4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F1E8A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077A87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579D537E"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D13D25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79703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D26CD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8A6F1F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7A8E56FB"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98DC8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8519D3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07E20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14</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F75F03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w:t>
            </w:r>
          </w:p>
        </w:tc>
      </w:tr>
      <w:tr w:rsidR="00795FB7" w:rsidRPr="00795FB7" w14:paraId="3691D108" w14:textId="77777777" w:rsidTr="00795FB7">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ABE0E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E0ED2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66.7%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F6606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66.7%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DC756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15%</w:t>
            </w:r>
          </w:p>
        </w:tc>
      </w:tr>
      <w:tr w:rsidR="00795FB7" w:rsidRPr="00795FB7" w14:paraId="41B51CF1" w14:textId="77777777" w:rsidTr="00795FB7">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0CF21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Employee Turnover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B0B33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D975F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905FB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1.0%</w:t>
            </w:r>
          </w:p>
        </w:tc>
      </w:tr>
      <w:tr w:rsidR="00795FB7" w:rsidRPr="00795FB7" w14:paraId="3B1A3982" w14:textId="77777777" w:rsidTr="00795FB7">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24102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8BC63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40DC7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57887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+4</w:t>
            </w:r>
          </w:p>
        </w:tc>
      </w:tr>
    </w:tbl>
    <w:p w14:paraId="3FED7375" w14:textId="3D0C2DEA" w:rsidR="00795FB7" w:rsidRDefault="00795FB7" w:rsidP="00795FB7">
      <w:pPr>
        <w:autoSpaceDE w:val="0"/>
        <w:autoSpaceDN w:val="0"/>
        <w:adjustRightInd w:val="0"/>
        <w:spacing w:after="0" w:line="240" w:lineRule="auto"/>
        <w:ind w:left="288"/>
        <w:rPr>
          <w:rFonts w:cstheme="minorHAnsi"/>
          <w:sz w:val="24"/>
          <w:szCs w:val="24"/>
        </w:rPr>
      </w:pPr>
    </w:p>
    <w:p w14:paraId="174A3277" w14:textId="0B79BCFB"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lastRenderedPageBreak/>
        <w:t>Budget – SFY23: Status – Red</w:t>
      </w:r>
    </w:p>
    <w:p w14:paraId="2A0F98EB" w14:textId="77777777" w:rsidR="00795FB7" w:rsidRDefault="00795FB7" w:rsidP="00795FB7">
      <w:pPr>
        <w:autoSpaceDE w:val="0"/>
        <w:autoSpaceDN w:val="0"/>
        <w:adjustRightInd w:val="0"/>
        <w:spacing w:after="0" w:line="240" w:lineRule="auto"/>
        <w:ind w:left="288"/>
        <w:rPr>
          <w:rFonts w:cstheme="minorHAnsi"/>
          <w:sz w:val="24"/>
          <w:szCs w:val="24"/>
        </w:rPr>
      </w:pPr>
    </w:p>
    <w:tbl>
      <w:tblPr>
        <w:tblW w:w="9420" w:type="dxa"/>
        <w:tblCellMar>
          <w:left w:w="0" w:type="dxa"/>
          <w:right w:w="0" w:type="dxa"/>
        </w:tblCellMar>
        <w:tblLook w:val="0420" w:firstRow="1" w:lastRow="0" w:firstColumn="0" w:lastColumn="0" w:noHBand="0" w:noVBand="1"/>
      </w:tblPr>
      <w:tblGrid>
        <w:gridCol w:w="2806"/>
        <w:gridCol w:w="2084"/>
        <w:gridCol w:w="2265"/>
        <w:gridCol w:w="2265"/>
      </w:tblGrid>
      <w:tr w:rsidR="00795FB7" w:rsidRPr="00795FB7" w14:paraId="7978E024" w14:textId="77777777" w:rsidTr="00795FB7">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DD9877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20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D2EAF0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2FE893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9E3211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56570576" w14:textId="77777777" w:rsidTr="00795FB7">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3BCA2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Starting Budget</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C7046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$2,775,188</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017D4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$2,775,188</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B30B33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545753BC" w14:textId="77777777" w:rsidTr="00795FB7">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79759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Actuals to Date</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A0965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$2,757,378</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B37C5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$3,441,824</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CB4EF9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588EBAE8" w14:textId="77777777" w:rsidTr="00795FB7">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3426C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Projected Expenses</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C0146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$8,360,079</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DAABA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$8,360,079</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2F7D40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512B425B" w14:textId="77777777" w:rsidTr="00795FB7">
        <w:trPr>
          <w:trHeight w:val="427"/>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A53B5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Variance – Budget to Projected Expenses</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BE3138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$5,584,891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7143D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$5,584,891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43629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&gt; $0</w:t>
            </w:r>
          </w:p>
        </w:tc>
      </w:tr>
      <w:tr w:rsidR="00795FB7" w:rsidRPr="00795FB7" w14:paraId="43B80B20" w14:textId="77777777" w:rsidTr="00795FB7">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9D79A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Cost per Bed Day</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51827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$2,290</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06036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$2,290</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EBDD59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1DC08093" w14:textId="77777777" w:rsidTr="00795FB7">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8F9B7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Revenue to Date</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4C4A6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$37,223</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CFE66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$38,299</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5C7D19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3483DBA0" w14:textId="77777777" w:rsidTr="00795FB7">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113E6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Monthly Traveler Spend</w:t>
            </w:r>
            <w:r w:rsidRPr="00795FB7">
              <w:rPr>
                <w:rFonts w:cstheme="minorHAnsi"/>
                <w:b/>
                <w:bCs/>
                <w:sz w:val="24"/>
                <w:szCs w:val="24"/>
                <w:vertAlign w:val="superscript"/>
              </w:rPr>
              <w:t>1</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93B55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$393,558</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A0557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$344,909</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BFBC36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2AF3BB2D" w14:textId="77777777" w:rsidTr="00795FB7">
        <w:trPr>
          <w:trHeight w:val="427"/>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8D4C3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Percent change in Traveler Spend</w:t>
            </w:r>
            <w:r w:rsidRPr="00795FB7">
              <w:rPr>
                <w:rFonts w:cstheme="minorHAnsi"/>
                <w:sz w:val="24"/>
                <w:szCs w:val="24"/>
                <w:vertAlign w:val="superscript"/>
              </w:rPr>
              <w:t>1</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B096B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92DD0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-12%</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36E4C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-10%</w:t>
            </w:r>
          </w:p>
        </w:tc>
      </w:tr>
    </w:tbl>
    <w:p w14:paraId="0338D2A0" w14:textId="7A227CC9" w:rsidR="00795FB7" w:rsidRDefault="00795FB7" w:rsidP="00795FB7">
      <w:pPr>
        <w:autoSpaceDE w:val="0"/>
        <w:autoSpaceDN w:val="0"/>
        <w:adjustRightInd w:val="0"/>
        <w:spacing w:after="0" w:line="240" w:lineRule="auto"/>
        <w:ind w:left="288"/>
        <w:rPr>
          <w:rFonts w:cstheme="minorHAnsi"/>
          <w:sz w:val="24"/>
          <w:szCs w:val="24"/>
        </w:rPr>
      </w:pPr>
    </w:p>
    <w:p w14:paraId="181A186B" w14:textId="1D7C1A5D"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Status – Red</w:t>
      </w:r>
    </w:p>
    <w:p w14:paraId="336FA326" w14:textId="77777777" w:rsidR="00795FB7" w:rsidRDefault="00795FB7" w:rsidP="00795FB7">
      <w:pPr>
        <w:autoSpaceDE w:val="0"/>
        <w:autoSpaceDN w:val="0"/>
        <w:adjustRightInd w:val="0"/>
        <w:spacing w:after="0" w:line="240" w:lineRule="auto"/>
        <w:ind w:left="288"/>
        <w:rPr>
          <w:rFonts w:cstheme="minorHAnsi"/>
          <w:sz w:val="24"/>
          <w:szCs w:val="24"/>
        </w:rPr>
      </w:pPr>
    </w:p>
    <w:tbl>
      <w:tblPr>
        <w:tblW w:w="5000" w:type="pct"/>
        <w:tblCellMar>
          <w:left w:w="0" w:type="dxa"/>
          <w:right w:w="0" w:type="dxa"/>
        </w:tblCellMar>
        <w:tblLook w:val="0420" w:firstRow="1" w:lastRow="0" w:firstColumn="0" w:lastColumn="0" w:noHBand="0" w:noVBand="1"/>
      </w:tblPr>
      <w:tblGrid>
        <w:gridCol w:w="3867"/>
        <w:gridCol w:w="1628"/>
        <w:gridCol w:w="1600"/>
        <w:gridCol w:w="2245"/>
      </w:tblGrid>
      <w:tr w:rsidR="00795FB7" w:rsidRPr="00795FB7" w14:paraId="3FA03BF8"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D4BFF4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879"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78E709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77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E82F4A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125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0EF83C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348943E2"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29738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Comprehensive behavior support plans are updated at least quarterly or based on the individual’s changing needs and expected outcomes</w:t>
            </w:r>
          </w:p>
        </w:tc>
        <w:tc>
          <w:tcPr>
            <w:tcW w:w="87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420B7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60%</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BE8CA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67%</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26BF6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100%</w:t>
            </w:r>
          </w:p>
        </w:tc>
      </w:tr>
      <w:tr w:rsidR="00795FB7" w:rsidRPr="00795FB7" w14:paraId="7DBDB54D"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FE05C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Total attendance at community outings</w:t>
            </w:r>
          </w:p>
        </w:tc>
        <w:tc>
          <w:tcPr>
            <w:tcW w:w="87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3154F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96BE7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16</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1495A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12</w:t>
            </w:r>
          </w:p>
        </w:tc>
      </w:tr>
      <w:tr w:rsidR="00795FB7" w:rsidRPr="00795FB7" w14:paraId="2B10A08C"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E14D6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Training Compliance</w:t>
            </w:r>
          </w:p>
        </w:tc>
        <w:tc>
          <w:tcPr>
            <w:tcW w:w="87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640B3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98%</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0F14D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96%</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A08B6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100%</w:t>
            </w:r>
          </w:p>
        </w:tc>
      </w:tr>
    </w:tbl>
    <w:p w14:paraId="6634986F" w14:textId="77777777" w:rsidR="00795FB7" w:rsidRPr="00795FB7" w:rsidRDefault="00795FB7" w:rsidP="00795FB7">
      <w:pPr>
        <w:autoSpaceDE w:val="0"/>
        <w:autoSpaceDN w:val="0"/>
        <w:adjustRightInd w:val="0"/>
        <w:spacing w:after="0" w:line="240" w:lineRule="auto"/>
        <w:ind w:left="288"/>
        <w:rPr>
          <w:rFonts w:cstheme="minorHAnsi"/>
          <w:sz w:val="24"/>
          <w:szCs w:val="24"/>
        </w:rPr>
      </w:pPr>
    </w:p>
    <w:p w14:paraId="5D1738B8" w14:textId="77777777" w:rsidR="00795FB7" w:rsidRDefault="00795FB7" w:rsidP="00795FB7">
      <w:pPr>
        <w:autoSpaceDE w:val="0"/>
        <w:autoSpaceDN w:val="0"/>
        <w:adjustRightInd w:val="0"/>
        <w:spacing w:after="0" w:line="240" w:lineRule="auto"/>
        <w:ind w:left="288"/>
        <w:rPr>
          <w:rFonts w:cstheme="minorHAnsi"/>
          <w:sz w:val="24"/>
          <w:szCs w:val="24"/>
        </w:rPr>
      </w:pPr>
    </w:p>
    <w:p w14:paraId="3A928ED6" w14:textId="1E03AF07" w:rsidR="00795FB7" w:rsidRPr="00795FB7"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795FB7">
        <w:rPr>
          <w:rFonts w:cstheme="minorHAnsi"/>
          <w:b/>
          <w:bCs/>
          <w:sz w:val="24"/>
          <w:szCs w:val="24"/>
        </w:rPr>
        <w:t>MCDC | Scorecard – December 31, 2022</w:t>
      </w:r>
    </w:p>
    <w:p w14:paraId="7C20C2DD" w14:textId="77777777" w:rsidR="00795FB7" w:rsidRDefault="00795FB7" w:rsidP="00795FB7">
      <w:pPr>
        <w:autoSpaceDE w:val="0"/>
        <w:autoSpaceDN w:val="0"/>
        <w:adjustRightInd w:val="0"/>
        <w:spacing w:after="0" w:line="240" w:lineRule="auto"/>
        <w:ind w:left="288"/>
        <w:rPr>
          <w:rFonts w:cstheme="minorHAnsi"/>
          <w:sz w:val="24"/>
          <w:szCs w:val="24"/>
        </w:rPr>
      </w:pPr>
    </w:p>
    <w:p w14:paraId="237E80E9" w14:textId="0A838DF3" w:rsid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xml:space="preserve">MCDC remained fully staffed across direct patient care positions in December, and as a result had no traveler spend for the month. However, census remains low, at 50 percent of the total licensed bed capacity. </w:t>
      </w:r>
    </w:p>
    <w:p w14:paraId="73E9534E" w14:textId="592DC1BC" w:rsidR="00795FB7" w:rsidRDefault="00795FB7" w:rsidP="00795FB7">
      <w:pPr>
        <w:autoSpaceDE w:val="0"/>
        <w:autoSpaceDN w:val="0"/>
        <w:adjustRightInd w:val="0"/>
        <w:spacing w:after="0" w:line="240" w:lineRule="auto"/>
        <w:ind w:left="288"/>
        <w:rPr>
          <w:rFonts w:cstheme="minorHAnsi"/>
          <w:sz w:val="24"/>
          <w:szCs w:val="24"/>
        </w:rPr>
      </w:pPr>
    </w:p>
    <w:p w14:paraId="4B6E2070" w14:textId="4F39EDFD"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lastRenderedPageBreak/>
        <w:t>Census &amp; Staffing: Status - Yellow</w:t>
      </w:r>
    </w:p>
    <w:p w14:paraId="05C4983F" w14:textId="62116068" w:rsidR="00795FB7" w:rsidRDefault="00795FB7" w:rsidP="00795FB7">
      <w:pPr>
        <w:autoSpaceDE w:val="0"/>
        <w:autoSpaceDN w:val="0"/>
        <w:adjustRightInd w:val="0"/>
        <w:spacing w:after="0" w:line="240" w:lineRule="auto"/>
        <w:ind w:left="288"/>
        <w:rPr>
          <w:rFonts w:cstheme="minorHAnsi"/>
          <w:sz w:val="24"/>
          <w:szCs w:val="24"/>
        </w:rPr>
      </w:pPr>
    </w:p>
    <w:tbl>
      <w:tblPr>
        <w:tblW w:w="9180" w:type="dxa"/>
        <w:tblCellMar>
          <w:left w:w="0" w:type="dxa"/>
          <w:right w:w="0" w:type="dxa"/>
        </w:tblCellMar>
        <w:tblLook w:val="0420" w:firstRow="1" w:lastRow="0" w:firstColumn="0" w:lastColumn="0" w:noHBand="0" w:noVBand="1"/>
      </w:tblPr>
      <w:tblGrid>
        <w:gridCol w:w="2555"/>
        <w:gridCol w:w="2037"/>
        <w:gridCol w:w="2296"/>
        <w:gridCol w:w="2292"/>
      </w:tblGrid>
      <w:tr w:rsidR="00795FB7" w:rsidRPr="00795FB7" w14:paraId="0AA2E1FA"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A2E91D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79CDCA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7CA222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08CF51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1997252E"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C3E1E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Average Daily Census (%)</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BE299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4E7B6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48%</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E1917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&gt; 90%</w:t>
            </w:r>
          </w:p>
        </w:tc>
      </w:tr>
      <w:tr w:rsidR="00795FB7" w:rsidRPr="00795FB7" w14:paraId="2F8DE28F"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7A151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88538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F9F82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32</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CB2B9C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1BBD50B5"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39449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08467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85251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40</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BEDC57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70E9E918" w14:textId="77777777" w:rsidTr="00795FB7">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CDF31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FF484B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93360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48C2EB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w:t>
            </w:r>
          </w:p>
        </w:tc>
      </w:tr>
      <w:tr w:rsidR="00795FB7" w:rsidRPr="00795FB7" w14:paraId="748E3BC1" w14:textId="77777777" w:rsidTr="00795FB7">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A025C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D6C22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E2163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5.0%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7C59D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15%</w:t>
            </w:r>
          </w:p>
        </w:tc>
      </w:tr>
      <w:tr w:rsidR="00795FB7" w:rsidRPr="00795FB7" w14:paraId="4076B5D4" w14:textId="77777777" w:rsidTr="00795FB7">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9747F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Employee Turnover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B1658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91348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3.7%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99E1C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&lt; 1.0%</w:t>
            </w:r>
          </w:p>
        </w:tc>
      </w:tr>
      <w:tr w:rsidR="00795FB7" w:rsidRPr="00795FB7" w14:paraId="1051D65F" w14:textId="77777777" w:rsidTr="00795FB7">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2A648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5E5E3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51240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E09F7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0</w:t>
            </w:r>
          </w:p>
        </w:tc>
      </w:tr>
    </w:tbl>
    <w:p w14:paraId="4FAC6679" w14:textId="65417D18" w:rsidR="00795FB7" w:rsidRDefault="00795FB7" w:rsidP="00795FB7">
      <w:pPr>
        <w:autoSpaceDE w:val="0"/>
        <w:autoSpaceDN w:val="0"/>
        <w:adjustRightInd w:val="0"/>
        <w:spacing w:after="0" w:line="240" w:lineRule="auto"/>
        <w:ind w:left="288"/>
        <w:rPr>
          <w:rFonts w:cstheme="minorHAnsi"/>
          <w:sz w:val="24"/>
          <w:szCs w:val="24"/>
        </w:rPr>
      </w:pPr>
    </w:p>
    <w:p w14:paraId="1C68F629" w14:textId="28A9AC62"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Budget – SFY23: Status – Yellow</w:t>
      </w:r>
    </w:p>
    <w:p w14:paraId="59EDDF8F" w14:textId="77777777" w:rsidR="00795FB7" w:rsidRDefault="00795FB7" w:rsidP="00795FB7">
      <w:pPr>
        <w:autoSpaceDE w:val="0"/>
        <w:autoSpaceDN w:val="0"/>
        <w:adjustRightInd w:val="0"/>
        <w:spacing w:after="0" w:line="240" w:lineRule="auto"/>
        <w:ind w:left="288"/>
        <w:rPr>
          <w:rFonts w:cstheme="minorHAnsi"/>
          <w:sz w:val="24"/>
          <w:szCs w:val="24"/>
        </w:rPr>
      </w:pPr>
    </w:p>
    <w:tbl>
      <w:tblPr>
        <w:tblW w:w="9440" w:type="dxa"/>
        <w:tblCellMar>
          <w:left w:w="0" w:type="dxa"/>
          <w:right w:w="0" w:type="dxa"/>
        </w:tblCellMar>
        <w:tblLook w:val="0420" w:firstRow="1" w:lastRow="0" w:firstColumn="0" w:lastColumn="0" w:noHBand="0" w:noVBand="1"/>
      </w:tblPr>
      <w:tblGrid>
        <w:gridCol w:w="2614"/>
        <w:gridCol w:w="2276"/>
        <w:gridCol w:w="2276"/>
        <w:gridCol w:w="2274"/>
      </w:tblGrid>
      <w:tr w:rsidR="00795FB7" w:rsidRPr="00795FB7" w14:paraId="60A9F2C7" w14:textId="77777777" w:rsidTr="00795FB7">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636100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Indicator</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312705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56D1E4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62FBE7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08CF1E46" w14:textId="77777777" w:rsidTr="00795FB7">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D3B48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Starting Budget</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C2738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$6,000,763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D6772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$6,000,763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2A6EC9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64BFF3A9" w14:textId="77777777" w:rsidTr="00795FB7">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C9069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Actuals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0DF02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$2,126,471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C2A4D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$2,795,536</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23BA1E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1AB42452" w14:textId="77777777" w:rsidTr="00795FB7">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F3902F"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EF233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$6,239,593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27653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$6,426,031</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3623C6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62D9832B" w14:textId="77777777" w:rsidTr="00795FB7">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E21CA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Variance – Budget to 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721BB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$238,830</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9E2EA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 $425,268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7050D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&gt; $0</w:t>
            </w:r>
          </w:p>
        </w:tc>
      </w:tr>
      <w:tr w:rsidR="00795FB7" w:rsidRPr="00795FB7" w14:paraId="50434B4C" w14:textId="77777777" w:rsidTr="00795FB7">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8A04A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Cost per Bed Day</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E05F9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$743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BF17A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$751</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1FBB45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21FE3115" w14:textId="77777777" w:rsidTr="00795FB7">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AC719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Revenue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8E4C3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$143,527</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0E300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$143,352</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355147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342F3EA2" w14:textId="77777777" w:rsidTr="00795FB7">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ADBA3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Monthly Traveler Spend</w:t>
            </w:r>
            <w:r w:rsidRPr="00795FB7">
              <w:rPr>
                <w:rFonts w:cstheme="minorHAnsi"/>
                <w:b/>
                <w:bCs/>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CC88D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A9C1C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$0</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E7B887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r>
      <w:tr w:rsidR="00795FB7" w:rsidRPr="00795FB7" w14:paraId="550B8745" w14:textId="77777777" w:rsidTr="00795FB7">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829AEE"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Percent change in Traveler Spend</w:t>
            </w:r>
            <w:r w:rsidRPr="00795FB7">
              <w:rPr>
                <w:rFonts w:cstheme="minorHAnsi"/>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7E5A4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-100%</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5A2A0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n/a</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0A953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 xml:space="preserve">&lt; -10% </w:t>
            </w:r>
            <w:r w:rsidRPr="00795FB7">
              <w:rPr>
                <w:rFonts w:cstheme="minorHAnsi"/>
                <w:b/>
                <w:bCs/>
                <w:i/>
                <w:iCs/>
                <w:sz w:val="24"/>
                <w:szCs w:val="24"/>
              </w:rPr>
              <w:t>(unless spend is $0)</w:t>
            </w:r>
          </w:p>
        </w:tc>
      </w:tr>
    </w:tbl>
    <w:p w14:paraId="1EF310A0" w14:textId="1046F0C3" w:rsidR="00795FB7" w:rsidRDefault="00795FB7" w:rsidP="00795FB7">
      <w:pPr>
        <w:autoSpaceDE w:val="0"/>
        <w:autoSpaceDN w:val="0"/>
        <w:adjustRightInd w:val="0"/>
        <w:spacing w:after="0" w:line="240" w:lineRule="auto"/>
        <w:ind w:left="288"/>
        <w:rPr>
          <w:rFonts w:cstheme="minorHAnsi"/>
          <w:sz w:val="24"/>
          <w:szCs w:val="24"/>
        </w:rPr>
      </w:pPr>
    </w:p>
    <w:p w14:paraId="0C8F356C" w14:textId="67715EDB" w:rsidR="00795FB7" w:rsidRDefault="00795FB7" w:rsidP="00795FB7">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Status – Yellow</w:t>
      </w:r>
    </w:p>
    <w:p w14:paraId="5804E985" w14:textId="77777777" w:rsidR="00795FB7" w:rsidRDefault="00795FB7" w:rsidP="00795FB7">
      <w:pPr>
        <w:autoSpaceDE w:val="0"/>
        <w:autoSpaceDN w:val="0"/>
        <w:adjustRightInd w:val="0"/>
        <w:spacing w:after="0" w:line="240" w:lineRule="auto"/>
        <w:ind w:left="288"/>
        <w:rPr>
          <w:rFonts w:cstheme="minorHAnsi"/>
          <w:sz w:val="24"/>
          <w:szCs w:val="24"/>
        </w:rPr>
      </w:pPr>
    </w:p>
    <w:tbl>
      <w:tblPr>
        <w:tblW w:w="5000" w:type="pct"/>
        <w:tblCellMar>
          <w:left w:w="0" w:type="dxa"/>
          <w:right w:w="0" w:type="dxa"/>
        </w:tblCellMar>
        <w:tblLook w:val="0420" w:firstRow="1" w:lastRow="0" w:firstColumn="0" w:lastColumn="0" w:noHBand="0" w:noVBand="1"/>
      </w:tblPr>
      <w:tblGrid>
        <w:gridCol w:w="3867"/>
        <w:gridCol w:w="1628"/>
        <w:gridCol w:w="1600"/>
        <w:gridCol w:w="2245"/>
      </w:tblGrid>
      <w:tr w:rsidR="00795FB7" w:rsidRPr="00795FB7" w14:paraId="678C8448"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EF2222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lastRenderedPageBreak/>
              <w:t>Indicator</w:t>
            </w:r>
          </w:p>
        </w:tc>
        <w:tc>
          <w:tcPr>
            <w:tcW w:w="879"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A14E74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November 2022</w:t>
            </w:r>
          </w:p>
        </w:tc>
        <w:tc>
          <w:tcPr>
            <w:tcW w:w="77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EF9F9C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December 2022</w:t>
            </w:r>
          </w:p>
        </w:tc>
        <w:tc>
          <w:tcPr>
            <w:tcW w:w="125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6EFC60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Goal</w:t>
            </w:r>
          </w:p>
        </w:tc>
      </w:tr>
      <w:tr w:rsidR="00795FB7" w:rsidRPr="00795FB7" w14:paraId="1D8FB75B"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BBAFAD"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 xml:space="preserve">% </w:t>
            </w:r>
            <w:proofErr w:type="gramStart"/>
            <w:r w:rsidRPr="00795FB7">
              <w:rPr>
                <w:rFonts w:cstheme="minorHAnsi"/>
                <w:b/>
                <w:bCs/>
                <w:sz w:val="24"/>
                <w:szCs w:val="24"/>
              </w:rPr>
              <w:t>of</w:t>
            </w:r>
            <w:proofErr w:type="gramEnd"/>
            <w:r w:rsidRPr="00795FB7">
              <w:rPr>
                <w:rFonts w:cstheme="minorHAnsi"/>
                <w:b/>
                <w:bCs/>
                <w:sz w:val="24"/>
                <w:szCs w:val="24"/>
              </w:rPr>
              <w:t xml:space="preserve"> discharge follow-ups, or attempts, across all discharges</w:t>
            </w:r>
          </w:p>
        </w:tc>
        <w:tc>
          <w:tcPr>
            <w:tcW w:w="87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4F3A70"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100%</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D81DC8A"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100%</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F66BB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100%</w:t>
            </w:r>
          </w:p>
        </w:tc>
      </w:tr>
      <w:tr w:rsidR="00795FB7" w:rsidRPr="00795FB7" w14:paraId="3C911A92"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79F068"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Number of discharges against medical advice (AMA)</w:t>
            </w:r>
          </w:p>
        </w:tc>
        <w:tc>
          <w:tcPr>
            <w:tcW w:w="87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08912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10</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B5A164"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13</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FD6ED1"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4</w:t>
            </w:r>
          </w:p>
        </w:tc>
      </w:tr>
      <w:tr w:rsidR="00795FB7" w:rsidRPr="00795FB7" w14:paraId="15631071"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B53A4B"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Number of complete referrals to number of actual patient admissions</w:t>
            </w:r>
          </w:p>
        </w:tc>
        <w:tc>
          <w:tcPr>
            <w:tcW w:w="87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48A0E43"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80%</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51F0F7"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61%</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95F849"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85%</w:t>
            </w:r>
          </w:p>
        </w:tc>
      </w:tr>
      <w:tr w:rsidR="00795FB7" w:rsidRPr="00795FB7" w14:paraId="79977E5F" w14:textId="77777777" w:rsidTr="00795FB7">
        <w:tc>
          <w:tcPr>
            <w:tcW w:w="209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7A85B6"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Training Compliance</w:t>
            </w:r>
          </w:p>
        </w:tc>
        <w:tc>
          <w:tcPr>
            <w:tcW w:w="879"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B68559C"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88%</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A907E2"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sz w:val="24"/>
                <w:szCs w:val="24"/>
              </w:rPr>
              <w:t>96%</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A02425" w14:textId="77777777" w:rsidR="00795FB7" w:rsidRPr="00795FB7" w:rsidRDefault="00795FB7" w:rsidP="00795FB7">
            <w:pPr>
              <w:autoSpaceDE w:val="0"/>
              <w:autoSpaceDN w:val="0"/>
              <w:adjustRightInd w:val="0"/>
              <w:spacing w:after="0" w:line="240" w:lineRule="auto"/>
              <w:ind w:left="288"/>
              <w:rPr>
                <w:rFonts w:cstheme="minorHAnsi"/>
                <w:sz w:val="24"/>
                <w:szCs w:val="24"/>
              </w:rPr>
            </w:pPr>
            <w:r w:rsidRPr="00795FB7">
              <w:rPr>
                <w:rFonts w:cstheme="minorHAnsi"/>
                <w:b/>
                <w:bCs/>
                <w:sz w:val="24"/>
                <w:szCs w:val="24"/>
              </w:rPr>
              <w:t>100%</w:t>
            </w:r>
          </w:p>
        </w:tc>
      </w:tr>
    </w:tbl>
    <w:p w14:paraId="22E1C90E" w14:textId="77777777" w:rsidR="00795FB7" w:rsidRPr="00795FB7" w:rsidRDefault="00795FB7" w:rsidP="00795FB7">
      <w:pPr>
        <w:autoSpaceDE w:val="0"/>
        <w:autoSpaceDN w:val="0"/>
        <w:adjustRightInd w:val="0"/>
        <w:spacing w:after="0" w:line="240" w:lineRule="auto"/>
        <w:ind w:left="288"/>
        <w:rPr>
          <w:rFonts w:cstheme="minorHAnsi"/>
          <w:sz w:val="24"/>
          <w:szCs w:val="24"/>
        </w:rPr>
      </w:pPr>
    </w:p>
    <w:p w14:paraId="3641056B" w14:textId="77777777" w:rsidR="00795FB7" w:rsidRDefault="00795FB7" w:rsidP="00795FB7">
      <w:pPr>
        <w:autoSpaceDE w:val="0"/>
        <w:autoSpaceDN w:val="0"/>
        <w:adjustRightInd w:val="0"/>
        <w:spacing w:after="0" w:line="240" w:lineRule="auto"/>
        <w:ind w:left="288"/>
        <w:rPr>
          <w:rFonts w:cstheme="minorHAnsi"/>
          <w:sz w:val="24"/>
          <w:szCs w:val="24"/>
        </w:rPr>
      </w:pPr>
    </w:p>
    <w:p w14:paraId="472423F7" w14:textId="56BDED34" w:rsidR="00795FB7" w:rsidRPr="00795FB7"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795FB7">
        <w:rPr>
          <w:rFonts w:cstheme="minorHAnsi"/>
          <w:b/>
          <w:bCs/>
          <w:sz w:val="24"/>
          <w:szCs w:val="24"/>
        </w:rPr>
        <w:t>CFMVH | Scorecard – December 31, 2022</w:t>
      </w:r>
    </w:p>
    <w:p w14:paraId="03A2628F" w14:textId="77777777" w:rsidR="00795FB7" w:rsidRDefault="00795FB7" w:rsidP="00795FB7">
      <w:pPr>
        <w:autoSpaceDE w:val="0"/>
        <w:autoSpaceDN w:val="0"/>
        <w:adjustRightInd w:val="0"/>
        <w:spacing w:after="0" w:line="240" w:lineRule="auto"/>
        <w:rPr>
          <w:rFonts w:cstheme="minorHAnsi"/>
          <w:sz w:val="24"/>
          <w:szCs w:val="24"/>
        </w:rPr>
      </w:pPr>
    </w:p>
    <w:p w14:paraId="508492D8" w14:textId="6F341788" w:rsidR="00795FB7" w:rsidRDefault="00795FB7" w:rsidP="00795FB7">
      <w:pPr>
        <w:autoSpaceDE w:val="0"/>
        <w:autoSpaceDN w:val="0"/>
        <w:adjustRightInd w:val="0"/>
        <w:spacing w:after="0" w:line="240" w:lineRule="auto"/>
        <w:rPr>
          <w:rFonts w:cstheme="minorHAnsi"/>
          <w:sz w:val="24"/>
          <w:szCs w:val="24"/>
        </w:rPr>
      </w:pPr>
      <w:r w:rsidRPr="00795FB7">
        <w:rPr>
          <w:rFonts w:cstheme="minorHAnsi"/>
          <w:sz w:val="24"/>
          <w:szCs w:val="24"/>
        </w:rPr>
        <w:t>Waitlist numbers remain high at CFMVH, though progress to reduce the number and admit new residents has been made. Additional progress was made on increasing training compliance in December.</w:t>
      </w:r>
    </w:p>
    <w:p w14:paraId="3C77BEEF" w14:textId="4CB758BD" w:rsidR="00F1701C" w:rsidRDefault="00F1701C" w:rsidP="00795FB7">
      <w:pPr>
        <w:autoSpaceDE w:val="0"/>
        <w:autoSpaceDN w:val="0"/>
        <w:adjustRightInd w:val="0"/>
        <w:spacing w:after="0" w:line="240" w:lineRule="auto"/>
        <w:rPr>
          <w:rFonts w:cstheme="minorHAnsi"/>
          <w:sz w:val="24"/>
          <w:szCs w:val="24"/>
        </w:rPr>
      </w:pPr>
      <w:r>
        <w:rPr>
          <w:rFonts w:cstheme="minorHAnsi"/>
          <w:sz w:val="24"/>
          <w:szCs w:val="24"/>
        </w:rPr>
        <w:br/>
        <w:t>Census &amp; Staffing: Status - Yellow</w:t>
      </w:r>
    </w:p>
    <w:p w14:paraId="27C58744" w14:textId="5FE308E1" w:rsidR="00F1701C" w:rsidRDefault="00F1701C" w:rsidP="00795FB7">
      <w:pPr>
        <w:autoSpaceDE w:val="0"/>
        <w:autoSpaceDN w:val="0"/>
        <w:adjustRightInd w:val="0"/>
        <w:spacing w:after="0" w:line="240" w:lineRule="auto"/>
        <w:rPr>
          <w:rFonts w:cstheme="minorHAnsi"/>
          <w:sz w:val="24"/>
          <w:szCs w:val="24"/>
        </w:rPr>
      </w:pPr>
    </w:p>
    <w:tbl>
      <w:tblPr>
        <w:tblW w:w="9180" w:type="dxa"/>
        <w:tblCellMar>
          <w:left w:w="0" w:type="dxa"/>
          <w:right w:w="0" w:type="dxa"/>
        </w:tblCellMar>
        <w:tblLook w:val="0420" w:firstRow="1" w:lastRow="0" w:firstColumn="0" w:lastColumn="0" w:noHBand="0" w:noVBand="1"/>
      </w:tblPr>
      <w:tblGrid>
        <w:gridCol w:w="2555"/>
        <w:gridCol w:w="2037"/>
        <w:gridCol w:w="2295"/>
        <w:gridCol w:w="2293"/>
      </w:tblGrid>
      <w:tr w:rsidR="00F1701C" w:rsidRPr="00F1701C" w14:paraId="13489226"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3E1989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0A7E55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November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41650E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72AE2B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Goal</w:t>
            </w:r>
          </w:p>
        </w:tc>
      </w:tr>
      <w:tr w:rsidR="00F1701C" w:rsidRPr="00F1701C" w14:paraId="397925B4"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1B8575"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Average Daily Census (%)</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DBC88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52.1%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A9840B"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52.1%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3B6407" w14:textId="77777777" w:rsidR="00F1701C" w:rsidRPr="00F1701C" w:rsidRDefault="00F1701C" w:rsidP="00F1701C">
            <w:pPr>
              <w:autoSpaceDE w:val="0"/>
              <w:autoSpaceDN w:val="0"/>
              <w:adjustRightInd w:val="0"/>
              <w:spacing w:after="0" w:line="240" w:lineRule="auto"/>
              <w:rPr>
                <w:rFonts w:cstheme="minorHAnsi"/>
                <w:sz w:val="24"/>
                <w:szCs w:val="24"/>
              </w:rPr>
            </w:pPr>
            <w:proofErr w:type="gramStart"/>
            <w:r w:rsidRPr="00F1701C">
              <w:rPr>
                <w:rFonts w:cstheme="minorHAnsi"/>
                <w:b/>
                <w:bCs/>
                <w:sz w:val="24"/>
                <w:szCs w:val="24"/>
              </w:rPr>
              <w:t>&gt;  89.7</w:t>
            </w:r>
            <w:proofErr w:type="gramEnd"/>
            <w:r w:rsidRPr="00F1701C">
              <w:rPr>
                <w:rFonts w:cstheme="minorHAnsi"/>
                <w:b/>
                <w:bCs/>
                <w:sz w:val="24"/>
                <w:szCs w:val="24"/>
              </w:rPr>
              <w:t>%</w:t>
            </w:r>
          </w:p>
        </w:tc>
      </w:tr>
      <w:tr w:rsidR="00F1701C" w:rsidRPr="00F1701C" w14:paraId="0A194173" w14:textId="77777777" w:rsidTr="00F1701C">
        <w:trPr>
          <w:trHeight w:val="37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A836F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51940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A777A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AA514BB"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41AAFA43"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F08164"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A09E0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ADBAEC4"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28CC537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48E5977B"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4FA3B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49B43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162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92CBE4"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138</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5A4A89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&lt; 15</w:t>
            </w:r>
          </w:p>
        </w:tc>
      </w:tr>
      <w:tr w:rsidR="00F1701C" w:rsidRPr="00F1701C" w14:paraId="6A1CD36C" w14:textId="77777777" w:rsidTr="00F1701C">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F11AA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996C9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21.5%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E88FF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24.0%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E8A55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&lt; 15%</w:t>
            </w:r>
          </w:p>
        </w:tc>
      </w:tr>
      <w:tr w:rsidR="00F1701C" w:rsidRPr="00F1701C" w14:paraId="47FABD50" w14:textId="77777777" w:rsidTr="00F1701C">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E7D2F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Employee Turnover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961E4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1593D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D5827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&lt; 1.0%</w:t>
            </w:r>
          </w:p>
        </w:tc>
      </w:tr>
      <w:tr w:rsidR="00F1701C" w:rsidRPr="00F1701C" w14:paraId="0508BB34" w14:textId="77777777" w:rsidTr="00F1701C">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3D74B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B445D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E8E29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4A64C6"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&gt; +4</w:t>
            </w:r>
          </w:p>
        </w:tc>
      </w:tr>
    </w:tbl>
    <w:p w14:paraId="23D87D07" w14:textId="77777777" w:rsidR="00F1701C" w:rsidRPr="00795FB7" w:rsidRDefault="00F1701C" w:rsidP="00795FB7">
      <w:pPr>
        <w:autoSpaceDE w:val="0"/>
        <w:autoSpaceDN w:val="0"/>
        <w:adjustRightInd w:val="0"/>
        <w:spacing w:after="0" w:line="240" w:lineRule="auto"/>
        <w:rPr>
          <w:rFonts w:cstheme="minorHAnsi"/>
          <w:sz w:val="24"/>
          <w:szCs w:val="24"/>
        </w:rPr>
      </w:pPr>
    </w:p>
    <w:p w14:paraId="0F66A788" w14:textId="6A47D686" w:rsidR="00795FB7" w:rsidRDefault="00F1701C" w:rsidP="00F1701C">
      <w:pPr>
        <w:autoSpaceDE w:val="0"/>
        <w:autoSpaceDN w:val="0"/>
        <w:adjustRightInd w:val="0"/>
        <w:spacing w:after="0" w:line="240" w:lineRule="auto"/>
        <w:rPr>
          <w:rFonts w:cstheme="minorHAnsi"/>
          <w:sz w:val="24"/>
          <w:szCs w:val="24"/>
        </w:rPr>
      </w:pPr>
      <w:r>
        <w:rPr>
          <w:rFonts w:cstheme="minorHAnsi"/>
          <w:sz w:val="24"/>
          <w:szCs w:val="24"/>
        </w:rPr>
        <w:t>Budget – SFY23: Status – Green</w:t>
      </w:r>
    </w:p>
    <w:p w14:paraId="1E135418" w14:textId="60FDB642" w:rsidR="00F1701C" w:rsidRDefault="00F1701C" w:rsidP="00F1701C">
      <w:pPr>
        <w:autoSpaceDE w:val="0"/>
        <w:autoSpaceDN w:val="0"/>
        <w:adjustRightInd w:val="0"/>
        <w:spacing w:after="0" w:line="240" w:lineRule="auto"/>
        <w:rPr>
          <w:rFonts w:cstheme="minorHAnsi"/>
          <w:sz w:val="24"/>
          <w:szCs w:val="24"/>
        </w:rPr>
      </w:pPr>
    </w:p>
    <w:tbl>
      <w:tblPr>
        <w:tblW w:w="9440" w:type="dxa"/>
        <w:tblCellMar>
          <w:left w:w="0" w:type="dxa"/>
          <w:right w:w="0" w:type="dxa"/>
        </w:tblCellMar>
        <w:tblLook w:val="0420" w:firstRow="1" w:lastRow="0" w:firstColumn="0" w:lastColumn="0" w:noHBand="0" w:noVBand="1"/>
      </w:tblPr>
      <w:tblGrid>
        <w:gridCol w:w="2613"/>
        <w:gridCol w:w="2277"/>
        <w:gridCol w:w="2277"/>
        <w:gridCol w:w="2273"/>
      </w:tblGrid>
      <w:tr w:rsidR="00F1701C" w:rsidRPr="00F1701C" w14:paraId="24FC6E90" w14:textId="77777777" w:rsidTr="00F1701C">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A9E6636"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lastRenderedPageBreak/>
              <w:t>Indicator</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9C3E10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November 2022</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A9CF1A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December 2022</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1F0912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Goal</w:t>
            </w:r>
          </w:p>
        </w:tc>
      </w:tr>
      <w:tr w:rsidR="00F1701C" w:rsidRPr="00F1701C" w14:paraId="3CA3CF69" w14:textId="77777777" w:rsidTr="00F1701C">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2A606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Starting Budget</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C1444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$14,997,323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664BF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$14,997,323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F7D153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636AE949" w14:textId="77777777" w:rsidTr="00F1701C">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58CB0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Actuals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070D9B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$4,223,154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5D91D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$5,319,150</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4B15DD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46E0557B" w14:textId="77777777" w:rsidTr="00F1701C">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8474FB"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888465"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$13,906,246</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4BEDE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$14,023,958</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52F2C79B"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17403C42" w14:textId="77777777" w:rsidTr="00F1701C">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3C372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Variance – Budget to 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1CF3D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 $1,091,077</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C25D3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$973,365</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7DC01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&gt; $0</w:t>
            </w:r>
          </w:p>
        </w:tc>
      </w:tr>
      <w:tr w:rsidR="00F1701C" w:rsidRPr="00F1701C" w14:paraId="574C6100" w14:textId="77777777" w:rsidTr="00F1701C">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545F1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Cost per Bed Day</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D1725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$625</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1B494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$618</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CD7A11B"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418F70BE" w14:textId="77777777" w:rsidTr="00F1701C">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320ED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Revenue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6F759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$1,347,046</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FFF46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$1,475,399</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74F201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0AC1ACCA" w14:textId="77777777" w:rsidTr="00F1701C">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E5070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Monthly Traveler Spend</w:t>
            </w:r>
            <w:r w:rsidRPr="00F1701C">
              <w:rPr>
                <w:rFonts w:cstheme="minorHAnsi"/>
                <w:b/>
                <w:bCs/>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4CA2B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$287,097</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0B1F46"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$217,229</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3BB7D46"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47F7AD35" w14:textId="77777777" w:rsidTr="00F1701C">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0E8A5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Percent change in Traveler Spend</w:t>
            </w:r>
            <w:r w:rsidRPr="00F1701C">
              <w:rPr>
                <w:rFonts w:cstheme="minorHAnsi"/>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FDEE87B"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+205%</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89703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A34E1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&lt; -10%</w:t>
            </w:r>
          </w:p>
        </w:tc>
      </w:tr>
    </w:tbl>
    <w:p w14:paraId="0045EB2E" w14:textId="155BF817" w:rsidR="00F1701C" w:rsidRDefault="00F1701C" w:rsidP="00F1701C">
      <w:pPr>
        <w:autoSpaceDE w:val="0"/>
        <w:autoSpaceDN w:val="0"/>
        <w:adjustRightInd w:val="0"/>
        <w:spacing w:after="0" w:line="240" w:lineRule="auto"/>
        <w:rPr>
          <w:rFonts w:cstheme="minorHAnsi"/>
          <w:sz w:val="24"/>
          <w:szCs w:val="24"/>
        </w:rPr>
      </w:pPr>
    </w:p>
    <w:p w14:paraId="04493C90" w14:textId="6D57D10E" w:rsidR="00F1701C" w:rsidRDefault="00F1701C" w:rsidP="00F1701C">
      <w:pPr>
        <w:autoSpaceDE w:val="0"/>
        <w:autoSpaceDN w:val="0"/>
        <w:adjustRightInd w:val="0"/>
        <w:spacing w:after="0" w:line="240" w:lineRule="auto"/>
        <w:rPr>
          <w:rFonts w:cstheme="minorHAnsi"/>
          <w:sz w:val="24"/>
          <w:szCs w:val="24"/>
        </w:rPr>
      </w:pPr>
      <w:r>
        <w:rPr>
          <w:rFonts w:cstheme="minorHAnsi"/>
          <w:sz w:val="24"/>
          <w:szCs w:val="24"/>
        </w:rPr>
        <w:t>Quality &amp; Training Metrics: Status – Yellow</w:t>
      </w:r>
    </w:p>
    <w:p w14:paraId="6D9E9B7B" w14:textId="5CFC0623" w:rsidR="00F1701C" w:rsidRDefault="00F1701C" w:rsidP="00F1701C">
      <w:pPr>
        <w:autoSpaceDE w:val="0"/>
        <w:autoSpaceDN w:val="0"/>
        <w:adjustRightInd w:val="0"/>
        <w:spacing w:after="0" w:line="240" w:lineRule="auto"/>
        <w:rPr>
          <w:rFonts w:cstheme="minorHAnsi"/>
          <w:sz w:val="24"/>
          <w:szCs w:val="24"/>
        </w:rPr>
      </w:pPr>
    </w:p>
    <w:tbl>
      <w:tblPr>
        <w:tblW w:w="5000" w:type="pct"/>
        <w:tblCellMar>
          <w:left w:w="0" w:type="dxa"/>
          <w:right w:w="0" w:type="dxa"/>
        </w:tblCellMar>
        <w:tblLook w:val="0420" w:firstRow="1" w:lastRow="0" w:firstColumn="0" w:lastColumn="0" w:noHBand="0" w:noVBand="1"/>
      </w:tblPr>
      <w:tblGrid>
        <w:gridCol w:w="4154"/>
        <w:gridCol w:w="1411"/>
        <w:gridCol w:w="1438"/>
        <w:gridCol w:w="2337"/>
      </w:tblGrid>
      <w:tr w:rsidR="00F1701C" w:rsidRPr="00F1701C" w14:paraId="349D5C6C" w14:textId="77777777" w:rsidTr="00F1701C">
        <w:tc>
          <w:tcPr>
            <w:tcW w:w="2223"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277123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Indicator</w:t>
            </w:r>
          </w:p>
        </w:tc>
        <w:tc>
          <w:tcPr>
            <w:tcW w:w="755"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D01A66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November 2022</w:t>
            </w:r>
          </w:p>
        </w:tc>
        <w:tc>
          <w:tcPr>
            <w:tcW w:w="77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35AD8D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December 2022</w:t>
            </w:r>
          </w:p>
        </w:tc>
        <w:tc>
          <w:tcPr>
            <w:tcW w:w="125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F3DE594"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Goal</w:t>
            </w:r>
          </w:p>
        </w:tc>
      </w:tr>
      <w:tr w:rsidR="00F1701C" w:rsidRPr="00F1701C" w14:paraId="1266F527" w14:textId="77777777" w:rsidTr="00F1701C">
        <w:tc>
          <w:tcPr>
            <w:tcW w:w="2223"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EF663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All patients that have a risk of falls are identified and risk interventions are put in place</w:t>
            </w:r>
          </w:p>
        </w:tc>
        <w:tc>
          <w:tcPr>
            <w:tcW w:w="75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32052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100%</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FD997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100%</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F454D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100%</w:t>
            </w:r>
          </w:p>
        </w:tc>
      </w:tr>
      <w:tr w:rsidR="00F1701C" w:rsidRPr="00F1701C" w14:paraId="6CA46090" w14:textId="77777777" w:rsidTr="00F1701C">
        <w:tc>
          <w:tcPr>
            <w:tcW w:w="2223"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D78C1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Number of UTIs per month</w:t>
            </w:r>
          </w:p>
        </w:tc>
        <w:tc>
          <w:tcPr>
            <w:tcW w:w="75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274884"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0</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815E63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11%</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B2CB18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0</w:t>
            </w:r>
          </w:p>
        </w:tc>
      </w:tr>
      <w:tr w:rsidR="00F1701C" w:rsidRPr="00F1701C" w14:paraId="0D709C52" w14:textId="77777777" w:rsidTr="00F1701C">
        <w:tc>
          <w:tcPr>
            <w:tcW w:w="2223"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19553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Use of antianxiety medications</w:t>
            </w:r>
          </w:p>
        </w:tc>
        <w:tc>
          <w:tcPr>
            <w:tcW w:w="75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BE633C2"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36%</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95C762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37%</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B2DF72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25%</w:t>
            </w:r>
          </w:p>
        </w:tc>
      </w:tr>
      <w:tr w:rsidR="00F1701C" w:rsidRPr="00F1701C" w14:paraId="0BEF4D22" w14:textId="77777777" w:rsidTr="00F1701C">
        <w:tc>
          <w:tcPr>
            <w:tcW w:w="2223"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29ABE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Training Compliance</w:t>
            </w:r>
          </w:p>
        </w:tc>
        <w:tc>
          <w:tcPr>
            <w:tcW w:w="75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B402D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74%</w:t>
            </w:r>
          </w:p>
        </w:tc>
        <w:tc>
          <w:tcPr>
            <w:tcW w:w="77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DE217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82%</w:t>
            </w:r>
          </w:p>
        </w:tc>
        <w:tc>
          <w:tcPr>
            <w:tcW w:w="12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B5A10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100%</w:t>
            </w:r>
          </w:p>
        </w:tc>
      </w:tr>
    </w:tbl>
    <w:p w14:paraId="4B8456E3" w14:textId="77777777" w:rsidR="00F1701C" w:rsidRDefault="00F1701C" w:rsidP="00F1701C">
      <w:pPr>
        <w:autoSpaceDE w:val="0"/>
        <w:autoSpaceDN w:val="0"/>
        <w:adjustRightInd w:val="0"/>
        <w:spacing w:after="0" w:line="240" w:lineRule="auto"/>
        <w:rPr>
          <w:rFonts w:cstheme="minorHAnsi"/>
          <w:sz w:val="24"/>
          <w:szCs w:val="24"/>
        </w:rPr>
      </w:pPr>
    </w:p>
    <w:p w14:paraId="090259B0" w14:textId="10994B45" w:rsidR="00795FB7" w:rsidRPr="00795FB7"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795FB7">
        <w:rPr>
          <w:rFonts w:cstheme="minorHAnsi"/>
          <w:b/>
          <w:bCs/>
          <w:sz w:val="24"/>
          <w:szCs w:val="24"/>
        </w:rPr>
        <w:t>SWMVH &amp; EMVH | Scorecard – December 31, 2022</w:t>
      </w:r>
    </w:p>
    <w:p w14:paraId="1F12460A" w14:textId="77777777" w:rsidR="00795FB7" w:rsidRDefault="00795FB7" w:rsidP="00795FB7">
      <w:pPr>
        <w:autoSpaceDE w:val="0"/>
        <w:autoSpaceDN w:val="0"/>
        <w:adjustRightInd w:val="0"/>
        <w:spacing w:after="0" w:line="240" w:lineRule="auto"/>
        <w:rPr>
          <w:rFonts w:cstheme="minorHAnsi"/>
          <w:sz w:val="24"/>
          <w:szCs w:val="24"/>
        </w:rPr>
      </w:pPr>
    </w:p>
    <w:p w14:paraId="3A377A06" w14:textId="038BA3A9" w:rsidR="00795FB7" w:rsidRPr="00795FB7" w:rsidRDefault="00795FB7" w:rsidP="00795FB7">
      <w:pPr>
        <w:autoSpaceDE w:val="0"/>
        <w:autoSpaceDN w:val="0"/>
        <w:adjustRightInd w:val="0"/>
        <w:spacing w:after="0" w:line="240" w:lineRule="auto"/>
        <w:rPr>
          <w:rFonts w:cstheme="minorHAnsi"/>
          <w:sz w:val="24"/>
          <w:szCs w:val="24"/>
        </w:rPr>
      </w:pPr>
      <w:r w:rsidRPr="00795FB7">
        <w:rPr>
          <w:rFonts w:cstheme="minorHAnsi"/>
          <w:sz w:val="24"/>
          <w:szCs w:val="24"/>
        </w:rPr>
        <w:t>Waitlist numbers decreased in December at SWMVH. Projected expenses increased significantly at both SWMVH and EMVH – as a result, the budget status at SWMVH changed from yellow to red for December, and at EMVH from green to yellow.</w:t>
      </w:r>
    </w:p>
    <w:p w14:paraId="2B30DA0C" w14:textId="77777777" w:rsidR="00795FB7" w:rsidRDefault="00795FB7" w:rsidP="00795FB7">
      <w:pPr>
        <w:autoSpaceDE w:val="0"/>
        <w:autoSpaceDN w:val="0"/>
        <w:adjustRightInd w:val="0"/>
        <w:spacing w:after="0" w:line="240" w:lineRule="auto"/>
        <w:rPr>
          <w:rFonts w:cstheme="minorHAnsi"/>
          <w:sz w:val="24"/>
          <w:szCs w:val="24"/>
        </w:rPr>
      </w:pPr>
    </w:p>
    <w:p w14:paraId="7D50FDC9" w14:textId="1B15B797" w:rsidR="00795FB7" w:rsidRPr="00795FB7" w:rsidRDefault="00795FB7" w:rsidP="00795FB7">
      <w:pPr>
        <w:autoSpaceDE w:val="0"/>
        <w:autoSpaceDN w:val="0"/>
        <w:adjustRightInd w:val="0"/>
        <w:spacing w:after="0" w:line="240" w:lineRule="auto"/>
        <w:rPr>
          <w:rFonts w:cstheme="minorHAnsi"/>
          <w:sz w:val="24"/>
          <w:szCs w:val="24"/>
        </w:rPr>
      </w:pPr>
      <w:r w:rsidRPr="00795FB7">
        <w:rPr>
          <w:rFonts w:cstheme="minorHAnsi"/>
          <w:sz w:val="24"/>
          <w:szCs w:val="24"/>
        </w:rPr>
        <w:t>Because SWMVH and EMVH are run by state contractors, we do not track data on staffing, quality measures, or training compliance. We also do not track certain budget components including traveler spend, cost per bed day, and revenue to date.</w:t>
      </w:r>
    </w:p>
    <w:p w14:paraId="3AF93DFA" w14:textId="5BCBEA5D" w:rsidR="00795FB7" w:rsidRDefault="00795FB7" w:rsidP="00795FB7">
      <w:pPr>
        <w:autoSpaceDE w:val="0"/>
        <w:autoSpaceDN w:val="0"/>
        <w:adjustRightInd w:val="0"/>
        <w:spacing w:after="0" w:line="240" w:lineRule="auto"/>
        <w:rPr>
          <w:rFonts w:cstheme="minorHAnsi"/>
          <w:sz w:val="24"/>
          <w:szCs w:val="24"/>
        </w:rPr>
      </w:pPr>
    </w:p>
    <w:p w14:paraId="38EAD777" w14:textId="3DD0ACC4" w:rsidR="00F1701C" w:rsidRPr="00F1701C" w:rsidRDefault="00F1701C" w:rsidP="00F1701C">
      <w:pPr>
        <w:pStyle w:val="ListParagraph"/>
        <w:numPr>
          <w:ilvl w:val="0"/>
          <w:numId w:val="2"/>
        </w:numPr>
        <w:autoSpaceDE w:val="0"/>
        <w:autoSpaceDN w:val="0"/>
        <w:adjustRightInd w:val="0"/>
        <w:spacing w:after="0" w:line="240" w:lineRule="auto"/>
        <w:rPr>
          <w:rFonts w:cstheme="minorHAnsi"/>
          <w:sz w:val="24"/>
          <w:szCs w:val="24"/>
          <w:u w:val="single"/>
        </w:rPr>
      </w:pPr>
      <w:r w:rsidRPr="00F1701C">
        <w:rPr>
          <w:rFonts w:cstheme="minorHAnsi"/>
          <w:sz w:val="24"/>
          <w:szCs w:val="24"/>
          <w:u w:val="single"/>
        </w:rPr>
        <w:t>SWMVH Scorecard</w:t>
      </w:r>
    </w:p>
    <w:p w14:paraId="0980BAD1" w14:textId="5AA501DE" w:rsidR="00F1701C" w:rsidRDefault="00F1701C" w:rsidP="00F1701C">
      <w:pPr>
        <w:autoSpaceDE w:val="0"/>
        <w:autoSpaceDN w:val="0"/>
        <w:adjustRightInd w:val="0"/>
        <w:spacing w:after="0" w:line="240" w:lineRule="auto"/>
        <w:rPr>
          <w:rFonts w:cstheme="minorHAnsi"/>
          <w:sz w:val="24"/>
          <w:szCs w:val="24"/>
        </w:rPr>
      </w:pPr>
    </w:p>
    <w:p w14:paraId="0745768C" w14:textId="0871353C" w:rsidR="00F1701C" w:rsidRDefault="00F1701C" w:rsidP="00F1701C">
      <w:pPr>
        <w:autoSpaceDE w:val="0"/>
        <w:autoSpaceDN w:val="0"/>
        <w:adjustRightInd w:val="0"/>
        <w:spacing w:after="0" w:line="240" w:lineRule="auto"/>
        <w:rPr>
          <w:rFonts w:cstheme="minorHAnsi"/>
          <w:sz w:val="24"/>
          <w:szCs w:val="24"/>
        </w:rPr>
      </w:pPr>
      <w:r>
        <w:rPr>
          <w:rFonts w:cstheme="minorHAnsi"/>
          <w:sz w:val="24"/>
          <w:szCs w:val="24"/>
        </w:rPr>
        <w:lastRenderedPageBreak/>
        <w:t>Census &amp; Staffing: Status – Yellow</w:t>
      </w:r>
    </w:p>
    <w:p w14:paraId="7A13F1AC" w14:textId="77777777" w:rsidR="00F1701C" w:rsidRDefault="00F1701C" w:rsidP="00F1701C">
      <w:pPr>
        <w:autoSpaceDE w:val="0"/>
        <w:autoSpaceDN w:val="0"/>
        <w:adjustRightInd w:val="0"/>
        <w:spacing w:after="0" w:line="240" w:lineRule="auto"/>
        <w:rPr>
          <w:rFonts w:cstheme="minorHAnsi"/>
          <w:sz w:val="24"/>
          <w:szCs w:val="24"/>
        </w:rPr>
      </w:pPr>
    </w:p>
    <w:tbl>
      <w:tblPr>
        <w:tblW w:w="9180" w:type="dxa"/>
        <w:tblCellMar>
          <w:left w:w="0" w:type="dxa"/>
          <w:right w:w="0" w:type="dxa"/>
        </w:tblCellMar>
        <w:tblLook w:val="0420" w:firstRow="1" w:lastRow="0" w:firstColumn="0" w:lastColumn="0" w:noHBand="0" w:noVBand="1"/>
      </w:tblPr>
      <w:tblGrid>
        <w:gridCol w:w="2555"/>
        <w:gridCol w:w="2037"/>
        <w:gridCol w:w="2295"/>
        <w:gridCol w:w="2293"/>
      </w:tblGrid>
      <w:tr w:rsidR="00F1701C" w:rsidRPr="00F1701C" w14:paraId="32184F79"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9224192"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23A396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November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EB8390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C71500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Goal</w:t>
            </w:r>
          </w:p>
        </w:tc>
      </w:tr>
      <w:tr w:rsidR="00F1701C" w:rsidRPr="00F1701C" w14:paraId="720BC57D"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ADA58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Average Daily Census (%)</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B329D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66.7%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581C9B"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68.3%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04E2C72" w14:textId="77777777" w:rsidR="00F1701C" w:rsidRPr="00F1701C" w:rsidRDefault="00F1701C" w:rsidP="00F1701C">
            <w:pPr>
              <w:autoSpaceDE w:val="0"/>
              <w:autoSpaceDN w:val="0"/>
              <w:adjustRightInd w:val="0"/>
              <w:spacing w:after="0" w:line="240" w:lineRule="auto"/>
              <w:rPr>
                <w:rFonts w:cstheme="minorHAnsi"/>
                <w:sz w:val="24"/>
                <w:szCs w:val="24"/>
              </w:rPr>
            </w:pPr>
            <w:proofErr w:type="gramStart"/>
            <w:r w:rsidRPr="00F1701C">
              <w:rPr>
                <w:rFonts w:cstheme="minorHAnsi"/>
                <w:b/>
                <w:bCs/>
                <w:sz w:val="24"/>
                <w:szCs w:val="24"/>
              </w:rPr>
              <w:t>&gt;  90</w:t>
            </w:r>
            <w:proofErr w:type="gramEnd"/>
            <w:r w:rsidRPr="00F1701C">
              <w:rPr>
                <w:rFonts w:cstheme="minorHAnsi"/>
                <w:b/>
                <w:bCs/>
                <w:sz w:val="24"/>
                <w:szCs w:val="24"/>
              </w:rPr>
              <w:t>%</w:t>
            </w:r>
          </w:p>
        </w:tc>
      </w:tr>
      <w:tr w:rsidR="00F1701C" w:rsidRPr="00F1701C" w14:paraId="179B63BE"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A42F7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BDC72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8E756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7</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83B5792"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1D100C00"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F4E327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F39D4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E6A68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4</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48E95A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2D352093"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A917D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057E8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AD3196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10</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F82EFC5"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&lt; 15</w:t>
            </w:r>
          </w:p>
        </w:tc>
      </w:tr>
    </w:tbl>
    <w:p w14:paraId="3267F2F6" w14:textId="27218831" w:rsidR="00F1701C" w:rsidRDefault="00F1701C" w:rsidP="00F1701C">
      <w:pPr>
        <w:autoSpaceDE w:val="0"/>
        <w:autoSpaceDN w:val="0"/>
        <w:adjustRightInd w:val="0"/>
        <w:spacing w:after="0" w:line="240" w:lineRule="auto"/>
        <w:rPr>
          <w:rFonts w:cstheme="minorHAnsi"/>
          <w:sz w:val="24"/>
          <w:szCs w:val="24"/>
        </w:rPr>
      </w:pPr>
    </w:p>
    <w:p w14:paraId="4C727DC4" w14:textId="16B51803" w:rsidR="00F1701C" w:rsidRDefault="00F1701C" w:rsidP="00F1701C">
      <w:pPr>
        <w:autoSpaceDE w:val="0"/>
        <w:autoSpaceDN w:val="0"/>
        <w:adjustRightInd w:val="0"/>
        <w:spacing w:after="0" w:line="240" w:lineRule="auto"/>
        <w:rPr>
          <w:rFonts w:cstheme="minorHAnsi"/>
          <w:sz w:val="24"/>
          <w:szCs w:val="24"/>
        </w:rPr>
      </w:pPr>
      <w:r>
        <w:rPr>
          <w:rFonts w:cstheme="minorHAnsi"/>
          <w:sz w:val="24"/>
          <w:szCs w:val="24"/>
        </w:rPr>
        <w:t>Budget – SFY23: Status – Red</w:t>
      </w:r>
    </w:p>
    <w:p w14:paraId="3C66D99F" w14:textId="77777777" w:rsidR="00F1701C" w:rsidRDefault="00F1701C" w:rsidP="00F1701C">
      <w:pPr>
        <w:autoSpaceDE w:val="0"/>
        <w:autoSpaceDN w:val="0"/>
        <w:adjustRightInd w:val="0"/>
        <w:spacing w:after="0" w:line="240" w:lineRule="auto"/>
        <w:rPr>
          <w:rFonts w:cstheme="minorHAnsi"/>
          <w:sz w:val="24"/>
          <w:szCs w:val="24"/>
        </w:rPr>
      </w:pPr>
    </w:p>
    <w:tbl>
      <w:tblPr>
        <w:tblW w:w="9140" w:type="dxa"/>
        <w:tblCellMar>
          <w:left w:w="0" w:type="dxa"/>
          <w:right w:w="0" w:type="dxa"/>
        </w:tblCellMar>
        <w:tblLook w:val="0420" w:firstRow="1" w:lastRow="0" w:firstColumn="0" w:lastColumn="0" w:noHBand="0" w:noVBand="1"/>
      </w:tblPr>
      <w:tblGrid>
        <w:gridCol w:w="2660"/>
        <w:gridCol w:w="2140"/>
        <w:gridCol w:w="2140"/>
        <w:gridCol w:w="2200"/>
      </w:tblGrid>
      <w:tr w:rsidR="00F1701C" w:rsidRPr="00F1701C" w14:paraId="2187FA6F" w14:textId="77777777" w:rsidTr="00F1701C">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FCE727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E0B2F8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November 2022</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E2A38A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December 2022</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4CB97B6"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Goal</w:t>
            </w:r>
          </w:p>
        </w:tc>
      </w:tr>
      <w:tr w:rsidR="00F1701C" w:rsidRPr="00F1701C" w14:paraId="6DD23568" w14:textId="77777777" w:rsidTr="00F1701C">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9F3B94"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BD9301"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$2,995,743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BD591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$2,995,743</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9109FE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7034D958" w14:textId="77777777" w:rsidTr="00F1701C">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57B93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6A26B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$960,360</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5BEDE2"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$977,293</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CC1C1C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12A5F0C9" w14:textId="77777777" w:rsidTr="00F1701C">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82F92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9E4F6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$4,257,932</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959C9C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$6,443,475</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49EFEE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2F7D8D44" w14:textId="77777777" w:rsidTr="00F1701C">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131515"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1C73B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 $1,262,189</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90DA7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 $3,447,732</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1A495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&gt; $0</w:t>
            </w:r>
          </w:p>
        </w:tc>
      </w:tr>
    </w:tbl>
    <w:p w14:paraId="14DE491E" w14:textId="50B77AE2" w:rsidR="00F1701C" w:rsidRDefault="00F1701C" w:rsidP="00F1701C">
      <w:pPr>
        <w:autoSpaceDE w:val="0"/>
        <w:autoSpaceDN w:val="0"/>
        <w:adjustRightInd w:val="0"/>
        <w:spacing w:after="0" w:line="240" w:lineRule="auto"/>
        <w:rPr>
          <w:rFonts w:cstheme="minorHAnsi"/>
          <w:sz w:val="24"/>
          <w:szCs w:val="24"/>
        </w:rPr>
      </w:pPr>
    </w:p>
    <w:p w14:paraId="29F20CF0" w14:textId="560C3A78" w:rsidR="00F1701C" w:rsidRPr="00F1701C" w:rsidRDefault="00F1701C" w:rsidP="00F1701C">
      <w:pPr>
        <w:pStyle w:val="ListParagraph"/>
        <w:numPr>
          <w:ilvl w:val="0"/>
          <w:numId w:val="2"/>
        </w:numPr>
        <w:autoSpaceDE w:val="0"/>
        <w:autoSpaceDN w:val="0"/>
        <w:adjustRightInd w:val="0"/>
        <w:spacing w:after="0" w:line="240" w:lineRule="auto"/>
        <w:rPr>
          <w:rFonts w:cstheme="minorHAnsi"/>
          <w:sz w:val="24"/>
          <w:szCs w:val="24"/>
          <w:u w:val="single"/>
        </w:rPr>
      </w:pPr>
      <w:r w:rsidRPr="00F1701C">
        <w:rPr>
          <w:rFonts w:cstheme="minorHAnsi"/>
          <w:sz w:val="24"/>
          <w:szCs w:val="24"/>
          <w:u w:val="single"/>
        </w:rPr>
        <w:t>EMVH Scorecard</w:t>
      </w:r>
    </w:p>
    <w:p w14:paraId="2E2BE91F" w14:textId="37F1941C" w:rsidR="00F1701C" w:rsidRDefault="00F1701C" w:rsidP="00F1701C">
      <w:pPr>
        <w:autoSpaceDE w:val="0"/>
        <w:autoSpaceDN w:val="0"/>
        <w:adjustRightInd w:val="0"/>
        <w:spacing w:after="0" w:line="240" w:lineRule="auto"/>
        <w:rPr>
          <w:rFonts w:cstheme="minorHAnsi"/>
          <w:sz w:val="24"/>
          <w:szCs w:val="24"/>
        </w:rPr>
      </w:pPr>
    </w:p>
    <w:p w14:paraId="49CBBD34" w14:textId="2AAE6972" w:rsidR="00F1701C" w:rsidRDefault="00F1701C" w:rsidP="00F1701C">
      <w:pPr>
        <w:autoSpaceDE w:val="0"/>
        <w:autoSpaceDN w:val="0"/>
        <w:adjustRightInd w:val="0"/>
        <w:spacing w:after="0" w:line="240" w:lineRule="auto"/>
        <w:rPr>
          <w:rFonts w:cstheme="minorHAnsi"/>
          <w:sz w:val="24"/>
          <w:szCs w:val="24"/>
        </w:rPr>
      </w:pPr>
      <w:r>
        <w:rPr>
          <w:rFonts w:cstheme="minorHAnsi"/>
          <w:sz w:val="24"/>
          <w:szCs w:val="24"/>
        </w:rPr>
        <w:t>Census &amp; Staffing: Status – Yellow</w:t>
      </w:r>
    </w:p>
    <w:p w14:paraId="7C4F8AF6" w14:textId="537C5EB8" w:rsidR="00F1701C" w:rsidRDefault="00F1701C" w:rsidP="00F1701C">
      <w:pPr>
        <w:autoSpaceDE w:val="0"/>
        <w:autoSpaceDN w:val="0"/>
        <w:adjustRightInd w:val="0"/>
        <w:spacing w:after="0" w:line="240" w:lineRule="auto"/>
        <w:rPr>
          <w:rFonts w:cstheme="minorHAnsi"/>
          <w:sz w:val="24"/>
          <w:szCs w:val="24"/>
        </w:rPr>
      </w:pPr>
    </w:p>
    <w:tbl>
      <w:tblPr>
        <w:tblW w:w="9180" w:type="dxa"/>
        <w:tblCellMar>
          <w:left w:w="0" w:type="dxa"/>
          <w:right w:w="0" w:type="dxa"/>
        </w:tblCellMar>
        <w:tblLook w:val="0420" w:firstRow="1" w:lastRow="0" w:firstColumn="0" w:lastColumn="0" w:noHBand="0" w:noVBand="1"/>
      </w:tblPr>
      <w:tblGrid>
        <w:gridCol w:w="2555"/>
        <w:gridCol w:w="2037"/>
        <w:gridCol w:w="2295"/>
        <w:gridCol w:w="2293"/>
      </w:tblGrid>
      <w:tr w:rsidR="00F1701C" w:rsidRPr="00F1701C" w14:paraId="19549C8B"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EF35CC6"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93B0F5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November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9C9512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B3B345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Goal</w:t>
            </w:r>
          </w:p>
        </w:tc>
      </w:tr>
      <w:tr w:rsidR="00F1701C" w:rsidRPr="00F1701C" w14:paraId="27EE9B77"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06424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Average Daily Census (%)</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29B06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67.5%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62317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66.3%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119E30" w14:textId="77777777" w:rsidR="00F1701C" w:rsidRPr="00F1701C" w:rsidRDefault="00F1701C" w:rsidP="00F1701C">
            <w:pPr>
              <w:autoSpaceDE w:val="0"/>
              <w:autoSpaceDN w:val="0"/>
              <w:adjustRightInd w:val="0"/>
              <w:spacing w:after="0" w:line="240" w:lineRule="auto"/>
              <w:rPr>
                <w:rFonts w:cstheme="minorHAnsi"/>
                <w:sz w:val="24"/>
                <w:szCs w:val="24"/>
              </w:rPr>
            </w:pPr>
            <w:proofErr w:type="gramStart"/>
            <w:r w:rsidRPr="00F1701C">
              <w:rPr>
                <w:rFonts w:cstheme="minorHAnsi"/>
                <w:b/>
                <w:bCs/>
                <w:sz w:val="24"/>
                <w:szCs w:val="24"/>
              </w:rPr>
              <w:t>&gt;  90</w:t>
            </w:r>
            <w:proofErr w:type="gramEnd"/>
            <w:r w:rsidRPr="00F1701C">
              <w:rPr>
                <w:rFonts w:cstheme="minorHAnsi"/>
                <w:b/>
                <w:bCs/>
                <w:sz w:val="24"/>
                <w:szCs w:val="24"/>
              </w:rPr>
              <w:t>%</w:t>
            </w:r>
          </w:p>
        </w:tc>
      </w:tr>
      <w:tr w:rsidR="00F1701C" w:rsidRPr="00F1701C" w14:paraId="3BB3CACD"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CED9C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8688C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3B1FE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8449FD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0208E743"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77E4F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972D3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AFA42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2</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03A277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154EE302" w14:textId="77777777" w:rsidTr="00F1701C">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9C9F8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A0BBA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4B328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9DE6ED5"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&lt; 15</w:t>
            </w:r>
          </w:p>
        </w:tc>
      </w:tr>
    </w:tbl>
    <w:p w14:paraId="654A8AD0" w14:textId="77777777" w:rsidR="00F1701C" w:rsidRDefault="00F1701C" w:rsidP="00F1701C">
      <w:pPr>
        <w:autoSpaceDE w:val="0"/>
        <w:autoSpaceDN w:val="0"/>
        <w:adjustRightInd w:val="0"/>
        <w:spacing w:after="0" w:line="240" w:lineRule="auto"/>
        <w:rPr>
          <w:rFonts w:cstheme="minorHAnsi"/>
          <w:sz w:val="24"/>
          <w:szCs w:val="24"/>
        </w:rPr>
      </w:pPr>
    </w:p>
    <w:p w14:paraId="01031487" w14:textId="11D92C12" w:rsidR="00F1701C" w:rsidRDefault="00F1701C" w:rsidP="00F1701C">
      <w:pPr>
        <w:autoSpaceDE w:val="0"/>
        <w:autoSpaceDN w:val="0"/>
        <w:adjustRightInd w:val="0"/>
        <w:spacing w:after="0" w:line="240" w:lineRule="auto"/>
        <w:rPr>
          <w:rFonts w:cstheme="minorHAnsi"/>
          <w:sz w:val="24"/>
          <w:szCs w:val="24"/>
        </w:rPr>
      </w:pPr>
      <w:r>
        <w:rPr>
          <w:rFonts w:cstheme="minorHAnsi"/>
          <w:sz w:val="24"/>
          <w:szCs w:val="24"/>
        </w:rPr>
        <w:t>Budget – SFY23: Status – Yellow</w:t>
      </w:r>
    </w:p>
    <w:p w14:paraId="5DB132F6" w14:textId="2A740816" w:rsidR="00F1701C" w:rsidRDefault="00F1701C" w:rsidP="00F1701C">
      <w:pPr>
        <w:autoSpaceDE w:val="0"/>
        <w:autoSpaceDN w:val="0"/>
        <w:adjustRightInd w:val="0"/>
        <w:spacing w:after="0" w:line="240" w:lineRule="auto"/>
        <w:rPr>
          <w:rFonts w:cstheme="minorHAnsi"/>
          <w:sz w:val="24"/>
          <w:szCs w:val="24"/>
        </w:rPr>
      </w:pPr>
    </w:p>
    <w:tbl>
      <w:tblPr>
        <w:tblW w:w="9140" w:type="dxa"/>
        <w:tblCellMar>
          <w:left w:w="0" w:type="dxa"/>
          <w:right w:w="0" w:type="dxa"/>
        </w:tblCellMar>
        <w:tblLook w:val="0420" w:firstRow="1" w:lastRow="0" w:firstColumn="0" w:lastColumn="0" w:noHBand="0" w:noVBand="1"/>
      </w:tblPr>
      <w:tblGrid>
        <w:gridCol w:w="2660"/>
        <w:gridCol w:w="2140"/>
        <w:gridCol w:w="2140"/>
        <w:gridCol w:w="2200"/>
      </w:tblGrid>
      <w:tr w:rsidR="00F1701C" w:rsidRPr="00F1701C" w14:paraId="19A75939" w14:textId="77777777" w:rsidTr="00F1701C">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7A8D53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3099B1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November 2022</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28FACF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December 2022</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CEAE03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Goal</w:t>
            </w:r>
          </w:p>
        </w:tc>
      </w:tr>
      <w:tr w:rsidR="00F1701C" w:rsidRPr="00F1701C" w14:paraId="591F6D48" w14:textId="77777777" w:rsidTr="00F1701C">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1693A2"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2A82F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$4,511,074</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EF4B1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$4,511,074</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521B4B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58F9A538" w14:textId="77777777" w:rsidTr="00F1701C">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B04CF5"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lastRenderedPageBreak/>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8518C2"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$1,646,074</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13CEC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$1,677,100</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AF15FE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2AA326C3" w14:textId="77777777" w:rsidTr="00F1701C">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442FE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EFAE74"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$3,983,471</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046EA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$4,600,067</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117018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n/a</w:t>
            </w:r>
          </w:p>
        </w:tc>
      </w:tr>
      <w:tr w:rsidR="00F1701C" w:rsidRPr="00F1701C" w14:paraId="1F4E031F" w14:textId="77777777" w:rsidTr="00F1701C">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12C495"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0C5560"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 $527,603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344E7F"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 $88,993</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B4131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&gt; $0</w:t>
            </w:r>
          </w:p>
        </w:tc>
      </w:tr>
    </w:tbl>
    <w:p w14:paraId="40670CA2" w14:textId="2A12267C" w:rsidR="00F1701C" w:rsidRDefault="00F1701C" w:rsidP="00F1701C">
      <w:pPr>
        <w:autoSpaceDE w:val="0"/>
        <w:autoSpaceDN w:val="0"/>
        <w:adjustRightInd w:val="0"/>
        <w:spacing w:after="0" w:line="240" w:lineRule="auto"/>
        <w:rPr>
          <w:rFonts w:cstheme="minorHAnsi"/>
          <w:sz w:val="24"/>
          <w:szCs w:val="24"/>
        </w:rPr>
      </w:pPr>
    </w:p>
    <w:p w14:paraId="155B1CF8" w14:textId="77777777" w:rsidR="00F1701C" w:rsidRPr="00F1701C" w:rsidRDefault="00F1701C" w:rsidP="00F1701C">
      <w:pPr>
        <w:autoSpaceDE w:val="0"/>
        <w:autoSpaceDN w:val="0"/>
        <w:adjustRightInd w:val="0"/>
        <w:spacing w:after="0" w:line="240" w:lineRule="auto"/>
        <w:rPr>
          <w:rFonts w:cstheme="minorHAnsi"/>
          <w:sz w:val="24"/>
          <w:szCs w:val="24"/>
        </w:rPr>
      </w:pPr>
    </w:p>
    <w:p w14:paraId="2724FE68" w14:textId="4124AD7B" w:rsidR="00795FB7" w:rsidRPr="00F1701C"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F1701C">
        <w:rPr>
          <w:rFonts w:cstheme="minorHAnsi"/>
          <w:b/>
          <w:bCs/>
          <w:sz w:val="24"/>
          <w:szCs w:val="24"/>
        </w:rPr>
        <w:t>Wins &amp; Challenges (1 of 3) | December 31, 2022</w:t>
      </w:r>
    </w:p>
    <w:p w14:paraId="372016CF" w14:textId="1B39D83F" w:rsidR="00F1701C" w:rsidRDefault="00F1701C" w:rsidP="00F1701C">
      <w:pPr>
        <w:autoSpaceDE w:val="0"/>
        <w:autoSpaceDN w:val="0"/>
        <w:adjustRightInd w:val="0"/>
        <w:spacing w:after="0" w:line="240" w:lineRule="auto"/>
        <w:rPr>
          <w:rFonts w:cstheme="minorHAnsi"/>
          <w:sz w:val="24"/>
          <w:szCs w:val="24"/>
        </w:rPr>
      </w:pPr>
    </w:p>
    <w:tbl>
      <w:tblPr>
        <w:tblW w:w="5000" w:type="pct"/>
        <w:tblCellMar>
          <w:left w:w="0" w:type="dxa"/>
          <w:right w:w="0" w:type="dxa"/>
        </w:tblCellMar>
        <w:tblLook w:val="0420" w:firstRow="1" w:lastRow="0" w:firstColumn="0" w:lastColumn="0" w:noHBand="0" w:noVBand="1"/>
      </w:tblPr>
      <w:tblGrid>
        <w:gridCol w:w="1014"/>
        <w:gridCol w:w="1256"/>
        <w:gridCol w:w="3300"/>
        <w:gridCol w:w="3770"/>
      </w:tblGrid>
      <w:tr w:rsidR="00F1701C" w:rsidRPr="00F1701C" w14:paraId="729EEC49" w14:textId="77777777" w:rsidTr="00F1701C">
        <w:tc>
          <w:tcPr>
            <w:tcW w:w="425" w:type="pct"/>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026CF5D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Facility</w:t>
            </w:r>
          </w:p>
        </w:tc>
        <w:tc>
          <w:tcPr>
            <w:tcW w:w="393"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29210304"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Operations Status</w:t>
            </w:r>
          </w:p>
        </w:tc>
        <w:tc>
          <w:tcPr>
            <w:tcW w:w="1965"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727D813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Current Operational Challenges</w:t>
            </w:r>
          </w:p>
        </w:tc>
        <w:tc>
          <w:tcPr>
            <w:tcW w:w="2217" w:type="pct"/>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53D37792"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Wins this Month</w:t>
            </w:r>
          </w:p>
        </w:tc>
      </w:tr>
      <w:tr w:rsidR="00F1701C" w:rsidRPr="00F1701C" w14:paraId="62B6F035" w14:textId="77777777" w:rsidTr="00F1701C">
        <w:tc>
          <w:tcPr>
            <w:tcW w:w="425"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55DB9AF6"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MSH</w:t>
            </w:r>
          </w:p>
        </w:tc>
        <w:tc>
          <w:tcPr>
            <w:tcW w:w="393"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64D4C5A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Red</w:t>
            </w:r>
          </w:p>
        </w:tc>
        <w:tc>
          <w:tcPr>
            <w:tcW w:w="1965"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51B076C8" w14:textId="77777777" w:rsidR="00F1701C" w:rsidRPr="00F1701C" w:rsidRDefault="00F1701C" w:rsidP="00F1701C">
            <w:pPr>
              <w:numPr>
                <w:ilvl w:val="0"/>
                <w:numId w:val="3"/>
              </w:numPr>
              <w:autoSpaceDE w:val="0"/>
              <w:autoSpaceDN w:val="0"/>
              <w:adjustRightInd w:val="0"/>
              <w:spacing w:after="0" w:line="240" w:lineRule="auto"/>
              <w:rPr>
                <w:rFonts w:cstheme="minorHAnsi"/>
                <w:sz w:val="24"/>
                <w:szCs w:val="24"/>
              </w:rPr>
            </w:pPr>
            <w:r w:rsidRPr="00F1701C">
              <w:rPr>
                <w:rFonts w:cstheme="minorHAnsi"/>
                <w:sz w:val="24"/>
                <w:szCs w:val="24"/>
              </w:rPr>
              <w:t xml:space="preserve">More work needed to analyze data and identify patterns and trends to drive quality initiatives. </w:t>
            </w:r>
          </w:p>
          <w:p w14:paraId="79C9B6F0" w14:textId="77777777" w:rsidR="00F1701C" w:rsidRPr="00F1701C" w:rsidRDefault="00F1701C" w:rsidP="00F1701C">
            <w:pPr>
              <w:numPr>
                <w:ilvl w:val="0"/>
                <w:numId w:val="3"/>
              </w:numPr>
              <w:autoSpaceDE w:val="0"/>
              <w:autoSpaceDN w:val="0"/>
              <w:adjustRightInd w:val="0"/>
              <w:spacing w:after="0" w:line="240" w:lineRule="auto"/>
              <w:rPr>
                <w:rFonts w:cstheme="minorHAnsi"/>
                <w:sz w:val="24"/>
                <w:szCs w:val="24"/>
              </w:rPr>
            </w:pPr>
            <w:r w:rsidRPr="00F1701C">
              <w:rPr>
                <w:rFonts w:cstheme="minorHAnsi"/>
                <w:sz w:val="24"/>
                <w:szCs w:val="24"/>
              </w:rPr>
              <w:t xml:space="preserve">High vacancy rates continue, particularly for direct care staff. Contractors/travelers are being used to cover vacancies. </w:t>
            </w:r>
          </w:p>
          <w:p w14:paraId="4A7BFEB0" w14:textId="77777777" w:rsidR="00F1701C" w:rsidRPr="00F1701C" w:rsidRDefault="00F1701C" w:rsidP="00F1701C">
            <w:pPr>
              <w:numPr>
                <w:ilvl w:val="0"/>
                <w:numId w:val="3"/>
              </w:numPr>
              <w:autoSpaceDE w:val="0"/>
              <w:autoSpaceDN w:val="0"/>
              <w:adjustRightInd w:val="0"/>
              <w:spacing w:after="0" w:line="240" w:lineRule="auto"/>
              <w:rPr>
                <w:rFonts w:cstheme="minorHAnsi"/>
                <w:sz w:val="24"/>
                <w:szCs w:val="24"/>
              </w:rPr>
            </w:pPr>
            <w:r w:rsidRPr="00F1701C">
              <w:rPr>
                <w:rFonts w:cstheme="minorHAnsi"/>
                <w:sz w:val="24"/>
                <w:szCs w:val="24"/>
              </w:rPr>
              <w:t>Contract staff spend has continued to increase, and projected expenses for FY23 exceed the budget significantly</w:t>
            </w:r>
          </w:p>
          <w:p w14:paraId="11E67630" w14:textId="77777777" w:rsidR="00F1701C" w:rsidRPr="00F1701C" w:rsidRDefault="00F1701C" w:rsidP="00F1701C">
            <w:pPr>
              <w:numPr>
                <w:ilvl w:val="0"/>
                <w:numId w:val="3"/>
              </w:numPr>
              <w:autoSpaceDE w:val="0"/>
              <w:autoSpaceDN w:val="0"/>
              <w:adjustRightInd w:val="0"/>
              <w:spacing w:after="0" w:line="240" w:lineRule="auto"/>
              <w:rPr>
                <w:rFonts w:cstheme="minorHAnsi"/>
                <w:sz w:val="24"/>
                <w:szCs w:val="24"/>
              </w:rPr>
            </w:pPr>
            <w:r w:rsidRPr="00F1701C">
              <w:rPr>
                <w:rFonts w:cstheme="minorHAnsi"/>
                <w:sz w:val="24"/>
                <w:szCs w:val="24"/>
              </w:rPr>
              <w:t xml:space="preserve">There are opportunities to improve discharge planning and active treatment. </w:t>
            </w:r>
          </w:p>
          <w:p w14:paraId="5150D785" w14:textId="77777777" w:rsidR="00F1701C" w:rsidRPr="00F1701C" w:rsidRDefault="00F1701C" w:rsidP="00F1701C">
            <w:pPr>
              <w:numPr>
                <w:ilvl w:val="0"/>
                <w:numId w:val="3"/>
              </w:numPr>
              <w:autoSpaceDE w:val="0"/>
              <w:autoSpaceDN w:val="0"/>
              <w:adjustRightInd w:val="0"/>
              <w:spacing w:after="0" w:line="240" w:lineRule="auto"/>
              <w:rPr>
                <w:rFonts w:cstheme="minorHAnsi"/>
                <w:sz w:val="24"/>
                <w:szCs w:val="24"/>
              </w:rPr>
            </w:pPr>
            <w:r w:rsidRPr="00F1701C">
              <w:rPr>
                <w:rFonts w:cstheme="minorHAnsi"/>
                <w:i/>
                <w:iCs/>
                <w:sz w:val="24"/>
                <w:szCs w:val="24"/>
              </w:rPr>
              <w:t>Climate and Culture Survey</w:t>
            </w:r>
            <w:r w:rsidRPr="00F1701C">
              <w:rPr>
                <w:rFonts w:cstheme="minorHAnsi"/>
                <w:sz w:val="24"/>
                <w:szCs w:val="24"/>
              </w:rPr>
              <w:t xml:space="preserve">: Employees reported low satisfaction with recognition, support, development, and salary. </w:t>
            </w:r>
          </w:p>
        </w:tc>
        <w:tc>
          <w:tcPr>
            <w:tcW w:w="2217"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2568D91E" w14:textId="77777777" w:rsidR="00F1701C" w:rsidRPr="00F1701C" w:rsidRDefault="00F1701C" w:rsidP="00F1701C">
            <w:pPr>
              <w:numPr>
                <w:ilvl w:val="0"/>
                <w:numId w:val="3"/>
              </w:numPr>
              <w:autoSpaceDE w:val="0"/>
              <w:autoSpaceDN w:val="0"/>
              <w:adjustRightInd w:val="0"/>
              <w:spacing w:after="0" w:line="240" w:lineRule="auto"/>
              <w:rPr>
                <w:rFonts w:cstheme="minorHAnsi"/>
                <w:sz w:val="24"/>
                <w:szCs w:val="24"/>
              </w:rPr>
            </w:pPr>
            <w:r w:rsidRPr="00F1701C">
              <w:rPr>
                <w:rFonts w:cstheme="minorHAnsi"/>
                <w:sz w:val="24"/>
                <w:szCs w:val="24"/>
              </w:rPr>
              <w:t>MSH training compliance continued to increase this month, from 77% in August to 94% in December due to improved recordkeeping and training efforts.</w:t>
            </w:r>
          </w:p>
          <w:p w14:paraId="425E1888" w14:textId="77777777" w:rsidR="00F1701C" w:rsidRPr="00F1701C" w:rsidRDefault="00F1701C" w:rsidP="00F1701C">
            <w:pPr>
              <w:numPr>
                <w:ilvl w:val="0"/>
                <w:numId w:val="3"/>
              </w:numPr>
              <w:autoSpaceDE w:val="0"/>
              <w:autoSpaceDN w:val="0"/>
              <w:adjustRightInd w:val="0"/>
              <w:spacing w:after="0" w:line="240" w:lineRule="auto"/>
              <w:rPr>
                <w:rFonts w:cstheme="minorHAnsi"/>
                <w:sz w:val="24"/>
                <w:szCs w:val="24"/>
              </w:rPr>
            </w:pPr>
            <w:r w:rsidRPr="00F1701C">
              <w:rPr>
                <w:rFonts w:cstheme="minorHAnsi"/>
                <w:sz w:val="24"/>
                <w:szCs w:val="24"/>
              </w:rPr>
              <w:t>The facility had the largest number of net staff hires (5) in the last 7 months.</w:t>
            </w:r>
          </w:p>
          <w:p w14:paraId="2EE001EF" w14:textId="77777777" w:rsidR="00F1701C" w:rsidRPr="00F1701C" w:rsidRDefault="00F1701C" w:rsidP="00F1701C">
            <w:pPr>
              <w:numPr>
                <w:ilvl w:val="0"/>
                <w:numId w:val="3"/>
              </w:numPr>
              <w:autoSpaceDE w:val="0"/>
              <w:autoSpaceDN w:val="0"/>
              <w:adjustRightInd w:val="0"/>
              <w:spacing w:after="0" w:line="240" w:lineRule="auto"/>
              <w:rPr>
                <w:rFonts w:cstheme="minorHAnsi"/>
                <w:sz w:val="24"/>
                <w:szCs w:val="24"/>
              </w:rPr>
            </w:pPr>
            <w:r w:rsidRPr="00F1701C">
              <w:rPr>
                <w:rFonts w:cstheme="minorHAnsi"/>
                <w:sz w:val="24"/>
                <w:szCs w:val="24"/>
              </w:rPr>
              <w:t xml:space="preserve">MSH added a third quality metric in an effort to make the quality measurement program more </w:t>
            </w:r>
            <w:proofErr w:type="gramStart"/>
            <w:r w:rsidRPr="00F1701C">
              <w:rPr>
                <w:rFonts w:cstheme="minorHAnsi"/>
                <w:sz w:val="24"/>
                <w:szCs w:val="24"/>
              </w:rPr>
              <w:t>robust, and</w:t>
            </w:r>
            <w:proofErr w:type="gramEnd"/>
            <w:r w:rsidRPr="00F1701C">
              <w:rPr>
                <w:rFonts w:cstheme="minorHAnsi"/>
                <w:sz w:val="24"/>
                <w:szCs w:val="24"/>
              </w:rPr>
              <w:t xml:space="preserve"> increased the percent of completed community re-entry forms within 10 days of admission from 50% in November to 68% in December.</w:t>
            </w:r>
          </w:p>
        </w:tc>
      </w:tr>
      <w:tr w:rsidR="00F1701C" w:rsidRPr="00F1701C" w14:paraId="0A9314B5" w14:textId="77777777" w:rsidTr="00F1701C">
        <w:tc>
          <w:tcPr>
            <w:tcW w:w="425"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1F2A1EE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MMHNCC</w:t>
            </w:r>
          </w:p>
        </w:tc>
        <w:tc>
          <w:tcPr>
            <w:tcW w:w="393"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2DF09B9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Red</w:t>
            </w:r>
          </w:p>
        </w:tc>
        <w:tc>
          <w:tcPr>
            <w:tcW w:w="1965"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028D2275" w14:textId="77777777" w:rsidR="00F1701C" w:rsidRPr="00F1701C" w:rsidRDefault="00F1701C" w:rsidP="00F1701C">
            <w:pPr>
              <w:numPr>
                <w:ilvl w:val="0"/>
                <w:numId w:val="4"/>
              </w:numPr>
              <w:autoSpaceDE w:val="0"/>
              <w:autoSpaceDN w:val="0"/>
              <w:adjustRightInd w:val="0"/>
              <w:spacing w:after="0" w:line="240" w:lineRule="auto"/>
              <w:rPr>
                <w:rFonts w:cstheme="minorHAnsi"/>
                <w:sz w:val="24"/>
                <w:szCs w:val="24"/>
              </w:rPr>
            </w:pPr>
            <w:r w:rsidRPr="00F1701C">
              <w:rPr>
                <w:rFonts w:cstheme="minorHAnsi"/>
                <w:sz w:val="24"/>
                <w:szCs w:val="24"/>
              </w:rPr>
              <w:t xml:space="preserve">Limited active behavioral health treatment. </w:t>
            </w:r>
          </w:p>
          <w:p w14:paraId="7B6FA3FD" w14:textId="77777777" w:rsidR="00F1701C" w:rsidRPr="00F1701C" w:rsidRDefault="00F1701C" w:rsidP="00F1701C">
            <w:pPr>
              <w:numPr>
                <w:ilvl w:val="0"/>
                <w:numId w:val="4"/>
              </w:numPr>
              <w:autoSpaceDE w:val="0"/>
              <w:autoSpaceDN w:val="0"/>
              <w:adjustRightInd w:val="0"/>
              <w:spacing w:after="0" w:line="240" w:lineRule="auto"/>
              <w:rPr>
                <w:rFonts w:cstheme="minorHAnsi"/>
                <w:sz w:val="24"/>
                <w:szCs w:val="24"/>
              </w:rPr>
            </w:pPr>
            <w:r w:rsidRPr="00F1701C">
              <w:rPr>
                <w:rFonts w:cstheme="minorHAnsi"/>
                <w:sz w:val="24"/>
                <w:szCs w:val="24"/>
              </w:rPr>
              <w:lastRenderedPageBreak/>
              <w:t xml:space="preserve">There appears to be over-reliance on </w:t>
            </w:r>
            <w:proofErr w:type="gramStart"/>
            <w:r w:rsidRPr="00F1701C">
              <w:rPr>
                <w:rFonts w:cstheme="minorHAnsi"/>
                <w:sz w:val="24"/>
                <w:szCs w:val="24"/>
              </w:rPr>
              <w:t>particular treatment</w:t>
            </w:r>
            <w:proofErr w:type="gramEnd"/>
            <w:r w:rsidRPr="00F1701C">
              <w:rPr>
                <w:rFonts w:cstheme="minorHAnsi"/>
                <w:sz w:val="24"/>
                <w:szCs w:val="24"/>
              </w:rPr>
              <w:t xml:space="preserve"> modalities. Lack of practice guidelines for psychotropic medication use. </w:t>
            </w:r>
          </w:p>
          <w:p w14:paraId="04F317AE" w14:textId="77777777" w:rsidR="00F1701C" w:rsidRPr="00F1701C" w:rsidRDefault="00F1701C" w:rsidP="00F1701C">
            <w:pPr>
              <w:numPr>
                <w:ilvl w:val="0"/>
                <w:numId w:val="4"/>
              </w:numPr>
              <w:autoSpaceDE w:val="0"/>
              <w:autoSpaceDN w:val="0"/>
              <w:adjustRightInd w:val="0"/>
              <w:spacing w:after="0" w:line="240" w:lineRule="auto"/>
              <w:rPr>
                <w:rFonts w:cstheme="minorHAnsi"/>
                <w:sz w:val="24"/>
                <w:szCs w:val="24"/>
              </w:rPr>
            </w:pPr>
            <w:r w:rsidRPr="00F1701C">
              <w:rPr>
                <w:rFonts w:cstheme="minorHAnsi"/>
                <w:sz w:val="24"/>
                <w:szCs w:val="24"/>
              </w:rPr>
              <w:t>The employee vacancy rate increased to 31.3% in December, with all social worker positions at the facility currently vacant – direct patient care staffing remains an issue for the facility.</w:t>
            </w:r>
          </w:p>
          <w:p w14:paraId="7CE00E80" w14:textId="77777777" w:rsidR="00F1701C" w:rsidRPr="00F1701C" w:rsidRDefault="00F1701C" w:rsidP="00F1701C">
            <w:pPr>
              <w:numPr>
                <w:ilvl w:val="0"/>
                <w:numId w:val="4"/>
              </w:numPr>
              <w:autoSpaceDE w:val="0"/>
              <w:autoSpaceDN w:val="0"/>
              <w:adjustRightInd w:val="0"/>
              <w:spacing w:after="0" w:line="240" w:lineRule="auto"/>
              <w:rPr>
                <w:rFonts w:cstheme="minorHAnsi"/>
                <w:sz w:val="24"/>
                <w:szCs w:val="24"/>
              </w:rPr>
            </w:pPr>
            <w:r w:rsidRPr="00F1701C">
              <w:rPr>
                <w:rFonts w:cstheme="minorHAnsi"/>
                <w:i/>
                <w:iCs/>
                <w:sz w:val="24"/>
                <w:szCs w:val="24"/>
              </w:rPr>
              <w:t>Climate and Culture Survey</w:t>
            </w:r>
            <w:r w:rsidRPr="00F1701C">
              <w:rPr>
                <w:rFonts w:cstheme="minorHAnsi"/>
                <w:sz w:val="24"/>
                <w:szCs w:val="24"/>
              </w:rPr>
              <w:t xml:space="preserve">: Employees reported low satisfaction with workload, recognition, support, development, and salary. </w:t>
            </w:r>
          </w:p>
        </w:tc>
        <w:tc>
          <w:tcPr>
            <w:tcW w:w="2217"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3A994FB8" w14:textId="77777777" w:rsidR="00F1701C" w:rsidRPr="00F1701C" w:rsidRDefault="00F1701C" w:rsidP="00F1701C">
            <w:pPr>
              <w:numPr>
                <w:ilvl w:val="0"/>
                <w:numId w:val="4"/>
              </w:numPr>
              <w:autoSpaceDE w:val="0"/>
              <w:autoSpaceDN w:val="0"/>
              <w:adjustRightInd w:val="0"/>
              <w:spacing w:after="0" w:line="240" w:lineRule="auto"/>
              <w:rPr>
                <w:rFonts w:cstheme="minorHAnsi"/>
                <w:sz w:val="24"/>
                <w:szCs w:val="24"/>
              </w:rPr>
            </w:pPr>
            <w:r w:rsidRPr="00F1701C">
              <w:rPr>
                <w:rFonts w:cstheme="minorHAnsi"/>
                <w:sz w:val="24"/>
                <w:szCs w:val="24"/>
              </w:rPr>
              <w:lastRenderedPageBreak/>
              <w:t xml:space="preserve">CNA trainee classes have resumed, with a full class of </w:t>
            </w:r>
            <w:r w:rsidRPr="00F1701C">
              <w:rPr>
                <w:rFonts w:cstheme="minorHAnsi"/>
                <w:sz w:val="24"/>
                <w:szCs w:val="24"/>
              </w:rPr>
              <w:lastRenderedPageBreak/>
              <w:t>four CNA trainees happening in January.</w:t>
            </w:r>
          </w:p>
          <w:p w14:paraId="26940C34" w14:textId="77777777" w:rsidR="00F1701C" w:rsidRPr="00F1701C" w:rsidRDefault="00F1701C" w:rsidP="00F1701C">
            <w:pPr>
              <w:numPr>
                <w:ilvl w:val="0"/>
                <w:numId w:val="4"/>
              </w:numPr>
              <w:autoSpaceDE w:val="0"/>
              <w:autoSpaceDN w:val="0"/>
              <w:adjustRightInd w:val="0"/>
              <w:spacing w:after="0" w:line="240" w:lineRule="auto"/>
              <w:rPr>
                <w:rFonts w:cstheme="minorHAnsi"/>
                <w:sz w:val="24"/>
                <w:szCs w:val="24"/>
              </w:rPr>
            </w:pPr>
            <w:r w:rsidRPr="00F1701C">
              <w:rPr>
                <w:rFonts w:cstheme="minorHAnsi"/>
                <w:sz w:val="24"/>
                <w:szCs w:val="24"/>
              </w:rPr>
              <w:t>Falls with major injuries were reduced to 0 in December.</w:t>
            </w:r>
          </w:p>
          <w:p w14:paraId="18A4EFE0" w14:textId="77777777" w:rsidR="00F1701C" w:rsidRPr="00F1701C" w:rsidRDefault="00F1701C" w:rsidP="00F1701C">
            <w:pPr>
              <w:numPr>
                <w:ilvl w:val="0"/>
                <w:numId w:val="4"/>
              </w:numPr>
              <w:autoSpaceDE w:val="0"/>
              <w:autoSpaceDN w:val="0"/>
              <w:adjustRightInd w:val="0"/>
              <w:spacing w:after="0" w:line="240" w:lineRule="auto"/>
              <w:rPr>
                <w:rFonts w:cstheme="minorHAnsi"/>
                <w:sz w:val="24"/>
                <w:szCs w:val="24"/>
              </w:rPr>
            </w:pPr>
            <w:r w:rsidRPr="00F1701C">
              <w:rPr>
                <w:rFonts w:cstheme="minorHAnsi"/>
                <w:sz w:val="24"/>
                <w:szCs w:val="24"/>
              </w:rPr>
              <w:t>Hired a night shift supervisor RN to begin work in January.</w:t>
            </w:r>
          </w:p>
        </w:tc>
      </w:tr>
    </w:tbl>
    <w:p w14:paraId="1529AF66" w14:textId="77777777" w:rsidR="00F1701C" w:rsidRPr="00F1701C" w:rsidRDefault="00F1701C" w:rsidP="00F1701C">
      <w:pPr>
        <w:autoSpaceDE w:val="0"/>
        <w:autoSpaceDN w:val="0"/>
        <w:adjustRightInd w:val="0"/>
        <w:spacing w:after="0" w:line="240" w:lineRule="auto"/>
        <w:rPr>
          <w:rFonts w:cstheme="minorHAnsi"/>
          <w:sz w:val="24"/>
          <w:szCs w:val="24"/>
        </w:rPr>
      </w:pPr>
    </w:p>
    <w:p w14:paraId="479113DC" w14:textId="77777777" w:rsidR="00795FB7" w:rsidRDefault="00795FB7" w:rsidP="00795FB7">
      <w:pPr>
        <w:autoSpaceDE w:val="0"/>
        <w:autoSpaceDN w:val="0"/>
        <w:adjustRightInd w:val="0"/>
        <w:spacing w:after="0" w:line="240" w:lineRule="auto"/>
        <w:rPr>
          <w:rFonts w:cstheme="minorHAnsi"/>
          <w:sz w:val="24"/>
          <w:szCs w:val="24"/>
        </w:rPr>
      </w:pPr>
    </w:p>
    <w:p w14:paraId="5140B552" w14:textId="526C9B25" w:rsidR="00795FB7" w:rsidRPr="00F1701C"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F1701C">
        <w:rPr>
          <w:rFonts w:cstheme="minorHAnsi"/>
          <w:b/>
          <w:bCs/>
          <w:sz w:val="24"/>
          <w:szCs w:val="24"/>
        </w:rPr>
        <w:t>Wins &amp; Challenges (2 of 3) | December 31, 2022</w:t>
      </w:r>
    </w:p>
    <w:p w14:paraId="3FCCADA2" w14:textId="60E3A3E1" w:rsidR="00795FB7" w:rsidRDefault="00795FB7" w:rsidP="00795FB7">
      <w:pPr>
        <w:autoSpaceDE w:val="0"/>
        <w:autoSpaceDN w:val="0"/>
        <w:adjustRightInd w:val="0"/>
        <w:spacing w:after="0" w:line="240" w:lineRule="auto"/>
        <w:rPr>
          <w:rFonts w:cstheme="minorHAnsi"/>
          <w:sz w:val="24"/>
          <w:szCs w:val="24"/>
        </w:rPr>
      </w:pPr>
    </w:p>
    <w:tbl>
      <w:tblPr>
        <w:tblW w:w="5000" w:type="pct"/>
        <w:tblCellMar>
          <w:left w:w="0" w:type="dxa"/>
          <w:right w:w="0" w:type="dxa"/>
        </w:tblCellMar>
        <w:tblLook w:val="0420" w:firstRow="1" w:lastRow="0" w:firstColumn="0" w:lastColumn="0" w:noHBand="0" w:noVBand="1"/>
      </w:tblPr>
      <w:tblGrid>
        <w:gridCol w:w="847"/>
        <w:gridCol w:w="1256"/>
        <w:gridCol w:w="2344"/>
        <w:gridCol w:w="4893"/>
      </w:tblGrid>
      <w:tr w:rsidR="00F1701C" w:rsidRPr="00F1701C" w14:paraId="70ADD099" w14:textId="77777777" w:rsidTr="00F1701C">
        <w:trPr>
          <w:trHeight w:val="469"/>
        </w:trPr>
        <w:tc>
          <w:tcPr>
            <w:tcW w:w="413" w:type="pct"/>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1AE3C91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Facility</w:t>
            </w:r>
          </w:p>
        </w:tc>
        <w:tc>
          <w:tcPr>
            <w:tcW w:w="366"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2FA65CA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Operations Status</w:t>
            </w:r>
          </w:p>
        </w:tc>
        <w:tc>
          <w:tcPr>
            <w:tcW w:w="1421"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1C3D890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Current Operational Challenges</w:t>
            </w:r>
          </w:p>
        </w:tc>
        <w:tc>
          <w:tcPr>
            <w:tcW w:w="2800" w:type="pct"/>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7FBF8066"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Wins this Month</w:t>
            </w:r>
          </w:p>
        </w:tc>
      </w:tr>
      <w:tr w:rsidR="00F1701C" w:rsidRPr="00F1701C" w14:paraId="0C5575C6" w14:textId="77777777" w:rsidTr="00F1701C">
        <w:trPr>
          <w:trHeight w:val="2682"/>
        </w:trPr>
        <w:tc>
          <w:tcPr>
            <w:tcW w:w="413"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57286E0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IBC</w:t>
            </w:r>
          </w:p>
        </w:tc>
        <w:tc>
          <w:tcPr>
            <w:tcW w:w="366"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4512B4ED"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Red</w:t>
            </w:r>
          </w:p>
        </w:tc>
        <w:tc>
          <w:tcPr>
            <w:tcW w:w="142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79B3B785"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Continued high staff vacancy rates, slow hiring, and travel staff to cover.</w:t>
            </w:r>
          </w:p>
          <w:p w14:paraId="7E9457D5"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 xml:space="preserve">Physical plant needs upgrades. </w:t>
            </w:r>
          </w:p>
          <w:p w14:paraId="1BFA8396"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 xml:space="preserve">Continued challenges with delivery of active treatment. </w:t>
            </w:r>
          </w:p>
          <w:p w14:paraId="7496D90C"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lastRenderedPageBreak/>
              <w:t xml:space="preserve">Decrease in community outings, need to develop an enhanced schedule that includes those. </w:t>
            </w:r>
          </w:p>
          <w:p w14:paraId="5A118D1B"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 xml:space="preserve">Environment continues to have an institutional feel. </w:t>
            </w:r>
          </w:p>
          <w:p w14:paraId="6E5F2670"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Difficulties with discharge and community placement.</w:t>
            </w:r>
          </w:p>
          <w:p w14:paraId="53528A87"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Difficulty with follow through on data collection.</w:t>
            </w:r>
          </w:p>
          <w:p w14:paraId="20992FFE"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Difficulty with quality food delivery.</w:t>
            </w:r>
          </w:p>
        </w:tc>
        <w:tc>
          <w:tcPr>
            <w:tcW w:w="2800"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2FD2D9AC"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lastRenderedPageBreak/>
              <w:t>Hired Interim Facility Administrator</w:t>
            </w:r>
          </w:p>
          <w:p w14:paraId="46F57061"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 xml:space="preserve">Two new Direct Service Professionals have been hired, bringing the total now to 11. One other will be starting new hire orientation in January. </w:t>
            </w:r>
          </w:p>
          <w:p w14:paraId="50E50B5C"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Initiated the mural project in the sensory room with client participation and have started painting our visitor's room.</w:t>
            </w:r>
          </w:p>
          <w:p w14:paraId="7DF1A541"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Increased participation in our Enrichment Center thus far in January.</w:t>
            </w:r>
          </w:p>
          <w:p w14:paraId="3A5DB0D7"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Two positions have been filled. Facility Services Manager is in orientation and the Client Service Manager will start 1/28/2023.</w:t>
            </w:r>
          </w:p>
          <w:p w14:paraId="3755F642"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lastRenderedPageBreak/>
              <w:t xml:space="preserve">The Community of Boulder Committee has formed and are planning ways to support the facility and clients who live there. </w:t>
            </w:r>
          </w:p>
          <w:p w14:paraId="77D506C2"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Traveler staff spend continued to decrease (12% decrease in December).</w:t>
            </w:r>
          </w:p>
          <w:p w14:paraId="427136F0" w14:textId="77777777" w:rsidR="00F1701C" w:rsidRPr="00F1701C" w:rsidRDefault="00F1701C" w:rsidP="00F1701C">
            <w:pPr>
              <w:numPr>
                <w:ilvl w:val="0"/>
                <w:numId w:val="5"/>
              </w:numPr>
              <w:autoSpaceDE w:val="0"/>
              <w:autoSpaceDN w:val="0"/>
              <w:adjustRightInd w:val="0"/>
              <w:spacing w:after="0" w:line="240" w:lineRule="auto"/>
              <w:rPr>
                <w:rFonts w:cstheme="minorHAnsi"/>
                <w:sz w:val="24"/>
                <w:szCs w:val="24"/>
              </w:rPr>
            </w:pPr>
            <w:r w:rsidRPr="00F1701C">
              <w:rPr>
                <w:rFonts w:cstheme="minorHAnsi"/>
                <w:sz w:val="24"/>
                <w:szCs w:val="24"/>
              </w:rPr>
              <w:t xml:space="preserve">Individualized Treatment Plans (ITPs) have been updated to embed Charting the </w:t>
            </w:r>
            <w:proofErr w:type="spellStart"/>
            <w:r w:rsidRPr="00F1701C">
              <w:rPr>
                <w:rFonts w:cstheme="minorHAnsi"/>
                <w:sz w:val="24"/>
                <w:szCs w:val="24"/>
              </w:rPr>
              <w:t>LifeCourse</w:t>
            </w:r>
            <w:proofErr w:type="spellEnd"/>
            <w:r w:rsidRPr="00F1701C">
              <w:rPr>
                <w:rFonts w:cstheme="minorHAnsi"/>
                <w:sz w:val="24"/>
                <w:szCs w:val="24"/>
              </w:rPr>
              <w:t xml:space="preserve"> (</w:t>
            </w:r>
            <w:proofErr w:type="spellStart"/>
            <w:r w:rsidRPr="00F1701C">
              <w:rPr>
                <w:rFonts w:cstheme="minorHAnsi"/>
                <w:sz w:val="24"/>
                <w:szCs w:val="24"/>
              </w:rPr>
              <w:t>CtLC</w:t>
            </w:r>
            <w:proofErr w:type="spellEnd"/>
            <w:r w:rsidRPr="00F1701C">
              <w:rPr>
                <w:rFonts w:cstheme="minorHAnsi"/>
                <w:sz w:val="24"/>
                <w:szCs w:val="24"/>
              </w:rPr>
              <w:t xml:space="preserve">) tools which are now being used to inform goal selection. This has now been completed for 100% of the clients. </w:t>
            </w:r>
          </w:p>
        </w:tc>
      </w:tr>
      <w:tr w:rsidR="00F1701C" w:rsidRPr="00F1701C" w14:paraId="6AE40AEA" w14:textId="77777777" w:rsidTr="00F1701C">
        <w:trPr>
          <w:trHeight w:val="1760"/>
        </w:trPr>
        <w:tc>
          <w:tcPr>
            <w:tcW w:w="413"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4593E593"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lastRenderedPageBreak/>
              <w:t>MCDC</w:t>
            </w:r>
          </w:p>
        </w:tc>
        <w:tc>
          <w:tcPr>
            <w:tcW w:w="366"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55DB1E8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Yellow</w:t>
            </w:r>
          </w:p>
        </w:tc>
        <w:tc>
          <w:tcPr>
            <w:tcW w:w="142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522F10FC" w14:textId="77777777" w:rsidR="00F1701C" w:rsidRPr="00F1701C" w:rsidRDefault="00F1701C" w:rsidP="00F1701C">
            <w:pPr>
              <w:numPr>
                <w:ilvl w:val="0"/>
                <w:numId w:val="6"/>
              </w:numPr>
              <w:autoSpaceDE w:val="0"/>
              <w:autoSpaceDN w:val="0"/>
              <w:adjustRightInd w:val="0"/>
              <w:spacing w:after="0" w:line="240" w:lineRule="auto"/>
              <w:rPr>
                <w:rFonts w:cstheme="minorHAnsi"/>
                <w:sz w:val="24"/>
                <w:szCs w:val="24"/>
              </w:rPr>
            </w:pPr>
            <w:r w:rsidRPr="00F1701C">
              <w:rPr>
                <w:rFonts w:cstheme="minorHAnsi"/>
                <w:sz w:val="24"/>
                <w:szCs w:val="24"/>
              </w:rPr>
              <w:t xml:space="preserve">Overall census and occupancy </w:t>
            </w:r>
            <w:proofErr w:type="gramStart"/>
            <w:r w:rsidRPr="00F1701C">
              <w:rPr>
                <w:rFonts w:cstheme="minorHAnsi"/>
                <w:sz w:val="24"/>
                <w:szCs w:val="24"/>
              </w:rPr>
              <w:t>remains</w:t>
            </w:r>
            <w:proofErr w:type="gramEnd"/>
            <w:r w:rsidRPr="00F1701C">
              <w:rPr>
                <w:rFonts w:cstheme="minorHAnsi"/>
                <w:sz w:val="24"/>
                <w:szCs w:val="24"/>
              </w:rPr>
              <w:t xml:space="preserve"> low. Barriers affecting census include patients leaving treatment prior to completion and scheduled admissions not arriving. Continuing to work on ways to improve census.</w:t>
            </w:r>
          </w:p>
          <w:p w14:paraId="72AB7B9F" w14:textId="77777777" w:rsidR="00F1701C" w:rsidRPr="00F1701C" w:rsidRDefault="00F1701C" w:rsidP="00F1701C">
            <w:pPr>
              <w:numPr>
                <w:ilvl w:val="0"/>
                <w:numId w:val="6"/>
              </w:numPr>
              <w:autoSpaceDE w:val="0"/>
              <w:autoSpaceDN w:val="0"/>
              <w:adjustRightInd w:val="0"/>
              <w:spacing w:after="0" w:line="240" w:lineRule="auto"/>
              <w:rPr>
                <w:rFonts w:cstheme="minorHAnsi"/>
                <w:sz w:val="24"/>
                <w:szCs w:val="24"/>
              </w:rPr>
            </w:pPr>
            <w:r w:rsidRPr="00F1701C">
              <w:rPr>
                <w:rFonts w:cstheme="minorHAnsi"/>
                <w:sz w:val="24"/>
                <w:szCs w:val="24"/>
              </w:rPr>
              <w:lastRenderedPageBreak/>
              <w:t>Discharges against medical advice (AMAs) increased from 10 to 13 for the month of December.</w:t>
            </w:r>
          </w:p>
          <w:p w14:paraId="37B26811" w14:textId="77777777" w:rsidR="00F1701C" w:rsidRPr="00F1701C" w:rsidRDefault="00F1701C" w:rsidP="00F1701C">
            <w:pPr>
              <w:numPr>
                <w:ilvl w:val="0"/>
                <w:numId w:val="6"/>
              </w:numPr>
              <w:autoSpaceDE w:val="0"/>
              <w:autoSpaceDN w:val="0"/>
              <w:adjustRightInd w:val="0"/>
              <w:spacing w:after="0" w:line="240" w:lineRule="auto"/>
              <w:rPr>
                <w:rFonts w:cstheme="minorHAnsi"/>
                <w:sz w:val="24"/>
                <w:szCs w:val="24"/>
              </w:rPr>
            </w:pPr>
            <w:r w:rsidRPr="00F1701C">
              <w:rPr>
                <w:rFonts w:cstheme="minorHAnsi"/>
                <w:sz w:val="24"/>
                <w:szCs w:val="24"/>
              </w:rPr>
              <w:t>Admissions were disrupted due to inclement weather, resulting in cancelled bus transportation and private transportation.</w:t>
            </w:r>
          </w:p>
        </w:tc>
        <w:tc>
          <w:tcPr>
            <w:tcW w:w="2800"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524F1DD4" w14:textId="77777777" w:rsidR="00F1701C" w:rsidRPr="00F1701C" w:rsidRDefault="00F1701C" w:rsidP="00F1701C">
            <w:pPr>
              <w:numPr>
                <w:ilvl w:val="0"/>
                <w:numId w:val="6"/>
              </w:numPr>
              <w:autoSpaceDE w:val="0"/>
              <w:autoSpaceDN w:val="0"/>
              <w:adjustRightInd w:val="0"/>
              <w:spacing w:after="0" w:line="240" w:lineRule="auto"/>
              <w:rPr>
                <w:rFonts w:cstheme="minorHAnsi"/>
                <w:sz w:val="24"/>
                <w:szCs w:val="24"/>
              </w:rPr>
            </w:pPr>
            <w:r w:rsidRPr="00F1701C">
              <w:rPr>
                <w:rFonts w:cstheme="minorHAnsi"/>
                <w:sz w:val="24"/>
                <w:szCs w:val="24"/>
              </w:rPr>
              <w:lastRenderedPageBreak/>
              <w:t>100% staffed across the facility with direct care staff – as a result, there was no traveler spend for the month of November or December.</w:t>
            </w:r>
          </w:p>
          <w:p w14:paraId="40383D0F" w14:textId="77777777" w:rsidR="00F1701C" w:rsidRPr="00F1701C" w:rsidRDefault="00F1701C" w:rsidP="00F1701C">
            <w:pPr>
              <w:numPr>
                <w:ilvl w:val="0"/>
                <w:numId w:val="6"/>
              </w:numPr>
              <w:autoSpaceDE w:val="0"/>
              <w:autoSpaceDN w:val="0"/>
              <w:adjustRightInd w:val="0"/>
              <w:spacing w:after="0" w:line="240" w:lineRule="auto"/>
              <w:rPr>
                <w:rFonts w:cstheme="minorHAnsi"/>
                <w:sz w:val="24"/>
                <w:szCs w:val="24"/>
              </w:rPr>
            </w:pPr>
            <w:r w:rsidRPr="00F1701C">
              <w:rPr>
                <w:rFonts w:cstheme="minorHAnsi"/>
                <w:sz w:val="24"/>
                <w:szCs w:val="24"/>
              </w:rPr>
              <w:t>Training compliance increased from 88 percent to 96 percent in December.</w:t>
            </w:r>
          </w:p>
          <w:p w14:paraId="488B49A2" w14:textId="77777777" w:rsidR="00F1701C" w:rsidRPr="00F1701C" w:rsidRDefault="00F1701C" w:rsidP="00F1701C">
            <w:pPr>
              <w:numPr>
                <w:ilvl w:val="0"/>
                <w:numId w:val="6"/>
              </w:numPr>
              <w:autoSpaceDE w:val="0"/>
              <w:autoSpaceDN w:val="0"/>
              <w:adjustRightInd w:val="0"/>
              <w:spacing w:after="0" w:line="240" w:lineRule="auto"/>
              <w:rPr>
                <w:rFonts w:cstheme="minorHAnsi"/>
                <w:sz w:val="24"/>
                <w:szCs w:val="24"/>
              </w:rPr>
            </w:pPr>
            <w:r w:rsidRPr="00F1701C">
              <w:rPr>
                <w:rFonts w:cstheme="minorHAnsi"/>
                <w:sz w:val="24"/>
                <w:szCs w:val="24"/>
              </w:rPr>
              <w:t xml:space="preserve">Increased networking with the </w:t>
            </w:r>
            <w:proofErr w:type="gramStart"/>
            <w:r w:rsidRPr="00F1701C">
              <w:rPr>
                <w:rFonts w:cstheme="minorHAnsi"/>
                <w:sz w:val="24"/>
                <w:szCs w:val="24"/>
              </w:rPr>
              <w:t>community, and</w:t>
            </w:r>
            <w:proofErr w:type="gramEnd"/>
            <w:r w:rsidRPr="00F1701C">
              <w:rPr>
                <w:rFonts w:cstheme="minorHAnsi"/>
                <w:sz w:val="24"/>
                <w:szCs w:val="24"/>
              </w:rPr>
              <w:t xml:space="preserve"> are working with DPHHS on increasing supports for Montana’s native populations.</w:t>
            </w:r>
          </w:p>
          <w:p w14:paraId="229495E2" w14:textId="77777777" w:rsidR="00F1701C" w:rsidRPr="00F1701C" w:rsidRDefault="00F1701C" w:rsidP="00F1701C">
            <w:pPr>
              <w:numPr>
                <w:ilvl w:val="0"/>
                <w:numId w:val="6"/>
              </w:numPr>
              <w:autoSpaceDE w:val="0"/>
              <w:autoSpaceDN w:val="0"/>
              <w:adjustRightInd w:val="0"/>
              <w:spacing w:after="0" w:line="240" w:lineRule="auto"/>
              <w:rPr>
                <w:rFonts w:cstheme="minorHAnsi"/>
                <w:sz w:val="24"/>
                <w:szCs w:val="24"/>
              </w:rPr>
            </w:pPr>
            <w:r w:rsidRPr="00F1701C">
              <w:rPr>
                <w:rFonts w:cstheme="minorHAnsi"/>
                <w:sz w:val="24"/>
                <w:szCs w:val="24"/>
              </w:rPr>
              <w:t xml:space="preserve">MCDC staff member was invited to be on the Substance Use Disorder Strategic Plan for the Butte Community </w:t>
            </w:r>
            <w:proofErr w:type="gramStart"/>
            <w:r w:rsidRPr="00F1701C">
              <w:rPr>
                <w:rFonts w:cstheme="minorHAnsi"/>
                <w:sz w:val="24"/>
                <w:szCs w:val="24"/>
              </w:rPr>
              <w:t>Action Team, and</w:t>
            </w:r>
            <w:proofErr w:type="gramEnd"/>
            <w:r w:rsidRPr="00F1701C">
              <w:rPr>
                <w:rFonts w:cstheme="minorHAnsi"/>
                <w:sz w:val="24"/>
                <w:szCs w:val="24"/>
              </w:rPr>
              <w:t xml:space="preserve"> is representing the facility in that group.</w:t>
            </w:r>
          </w:p>
          <w:p w14:paraId="3946C443" w14:textId="77777777" w:rsidR="00F1701C" w:rsidRPr="00F1701C" w:rsidRDefault="00F1701C" w:rsidP="00F1701C">
            <w:pPr>
              <w:numPr>
                <w:ilvl w:val="0"/>
                <w:numId w:val="6"/>
              </w:numPr>
              <w:autoSpaceDE w:val="0"/>
              <w:autoSpaceDN w:val="0"/>
              <w:adjustRightInd w:val="0"/>
              <w:spacing w:after="0" w:line="240" w:lineRule="auto"/>
              <w:rPr>
                <w:rFonts w:cstheme="minorHAnsi"/>
                <w:sz w:val="24"/>
                <w:szCs w:val="24"/>
              </w:rPr>
            </w:pPr>
            <w:r w:rsidRPr="00F1701C">
              <w:rPr>
                <w:rFonts w:cstheme="minorHAnsi"/>
                <w:sz w:val="24"/>
                <w:szCs w:val="24"/>
              </w:rPr>
              <w:t xml:space="preserve">Montana’s Peer Network in Partnership with Southwest Montana Community Coalition for Pregnant and Parenting </w:t>
            </w:r>
            <w:r w:rsidRPr="00F1701C">
              <w:rPr>
                <w:rFonts w:cstheme="minorHAnsi"/>
                <w:sz w:val="24"/>
                <w:szCs w:val="24"/>
              </w:rPr>
              <w:lastRenderedPageBreak/>
              <w:t>Persons came and presented to help partnership with the facility.</w:t>
            </w:r>
          </w:p>
        </w:tc>
      </w:tr>
      <w:tr w:rsidR="00F1701C" w:rsidRPr="00F1701C" w14:paraId="3E858D3A" w14:textId="77777777" w:rsidTr="00F1701C">
        <w:trPr>
          <w:trHeight w:val="1944"/>
        </w:trPr>
        <w:tc>
          <w:tcPr>
            <w:tcW w:w="413"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4983A546"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lastRenderedPageBreak/>
              <w:t>CFMVH</w:t>
            </w:r>
          </w:p>
        </w:tc>
        <w:tc>
          <w:tcPr>
            <w:tcW w:w="366"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5A68486B"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Yellow</w:t>
            </w:r>
          </w:p>
        </w:tc>
        <w:tc>
          <w:tcPr>
            <w:tcW w:w="142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6DAF107A" w14:textId="77777777" w:rsidR="00F1701C" w:rsidRPr="00F1701C" w:rsidRDefault="00F1701C" w:rsidP="00F1701C">
            <w:pPr>
              <w:numPr>
                <w:ilvl w:val="0"/>
                <w:numId w:val="7"/>
              </w:numPr>
              <w:autoSpaceDE w:val="0"/>
              <w:autoSpaceDN w:val="0"/>
              <w:adjustRightInd w:val="0"/>
              <w:spacing w:after="0" w:line="240" w:lineRule="auto"/>
              <w:rPr>
                <w:rFonts w:cstheme="minorHAnsi"/>
                <w:sz w:val="24"/>
                <w:szCs w:val="24"/>
              </w:rPr>
            </w:pPr>
            <w:r w:rsidRPr="00F1701C">
              <w:rPr>
                <w:rFonts w:cstheme="minorHAnsi"/>
                <w:sz w:val="24"/>
                <w:szCs w:val="24"/>
              </w:rPr>
              <w:t>Difficulty filling vacant positions. Vacancies are hard to fill due to local health care competition. </w:t>
            </w:r>
          </w:p>
          <w:p w14:paraId="70180FD4" w14:textId="77777777" w:rsidR="00F1701C" w:rsidRPr="00F1701C" w:rsidRDefault="00F1701C" w:rsidP="00F1701C">
            <w:pPr>
              <w:numPr>
                <w:ilvl w:val="0"/>
                <w:numId w:val="7"/>
              </w:numPr>
              <w:autoSpaceDE w:val="0"/>
              <w:autoSpaceDN w:val="0"/>
              <w:adjustRightInd w:val="0"/>
              <w:spacing w:after="0" w:line="240" w:lineRule="auto"/>
              <w:rPr>
                <w:rFonts w:cstheme="minorHAnsi"/>
                <w:sz w:val="24"/>
                <w:szCs w:val="24"/>
              </w:rPr>
            </w:pPr>
            <w:r w:rsidRPr="00F1701C">
              <w:rPr>
                <w:rFonts w:cstheme="minorHAnsi"/>
                <w:sz w:val="24"/>
                <w:szCs w:val="24"/>
              </w:rPr>
              <w:t>Difficulty training PRN and off-shift employees.</w:t>
            </w:r>
          </w:p>
          <w:p w14:paraId="66242D6D" w14:textId="77777777" w:rsidR="00F1701C" w:rsidRPr="00F1701C" w:rsidRDefault="00F1701C" w:rsidP="00F1701C">
            <w:pPr>
              <w:numPr>
                <w:ilvl w:val="0"/>
                <w:numId w:val="7"/>
              </w:numPr>
              <w:autoSpaceDE w:val="0"/>
              <w:autoSpaceDN w:val="0"/>
              <w:adjustRightInd w:val="0"/>
              <w:spacing w:after="0" w:line="240" w:lineRule="auto"/>
              <w:rPr>
                <w:rFonts w:cstheme="minorHAnsi"/>
                <w:sz w:val="24"/>
                <w:szCs w:val="24"/>
              </w:rPr>
            </w:pPr>
            <w:r w:rsidRPr="00F1701C">
              <w:rPr>
                <w:rFonts w:cstheme="minorHAnsi"/>
                <w:sz w:val="24"/>
                <w:szCs w:val="24"/>
              </w:rPr>
              <w:t>Lack of affordable housing. </w:t>
            </w:r>
          </w:p>
          <w:p w14:paraId="14EFA0B7" w14:textId="77777777" w:rsidR="00F1701C" w:rsidRPr="00F1701C" w:rsidRDefault="00F1701C" w:rsidP="00F1701C">
            <w:pPr>
              <w:numPr>
                <w:ilvl w:val="0"/>
                <w:numId w:val="7"/>
              </w:numPr>
              <w:autoSpaceDE w:val="0"/>
              <w:autoSpaceDN w:val="0"/>
              <w:adjustRightInd w:val="0"/>
              <w:spacing w:after="0" w:line="240" w:lineRule="auto"/>
              <w:rPr>
                <w:rFonts w:cstheme="minorHAnsi"/>
                <w:sz w:val="24"/>
                <w:szCs w:val="24"/>
              </w:rPr>
            </w:pPr>
            <w:r w:rsidRPr="00F1701C">
              <w:rPr>
                <w:rFonts w:cstheme="minorHAnsi"/>
                <w:sz w:val="24"/>
                <w:szCs w:val="24"/>
              </w:rPr>
              <w:t>Low census and high waitlist numbers.</w:t>
            </w:r>
          </w:p>
        </w:tc>
        <w:tc>
          <w:tcPr>
            <w:tcW w:w="2800"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47F55875" w14:textId="77777777" w:rsidR="00F1701C" w:rsidRPr="00F1701C" w:rsidRDefault="00F1701C" w:rsidP="00F1701C">
            <w:pPr>
              <w:numPr>
                <w:ilvl w:val="0"/>
                <w:numId w:val="7"/>
              </w:numPr>
              <w:autoSpaceDE w:val="0"/>
              <w:autoSpaceDN w:val="0"/>
              <w:adjustRightInd w:val="0"/>
              <w:spacing w:after="0" w:line="240" w:lineRule="auto"/>
              <w:rPr>
                <w:rFonts w:cstheme="minorHAnsi"/>
                <w:sz w:val="24"/>
                <w:szCs w:val="24"/>
              </w:rPr>
            </w:pPr>
            <w:r w:rsidRPr="00F1701C">
              <w:rPr>
                <w:rFonts w:cstheme="minorHAnsi"/>
                <w:sz w:val="24"/>
                <w:szCs w:val="24"/>
              </w:rPr>
              <w:t>Facility was identified by US News &amp; World Report as a high performing facility, and in the top 16 percent of nursing homes nationwide.</w:t>
            </w:r>
          </w:p>
          <w:p w14:paraId="2A4F6163" w14:textId="77777777" w:rsidR="00F1701C" w:rsidRPr="00F1701C" w:rsidRDefault="00F1701C" w:rsidP="00F1701C">
            <w:pPr>
              <w:numPr>
                <w:ilvl w:val="0"/>
                <w:numId w:val="7"/>
              </w:numPr>
              <w:autoSpaceDE w:val="0"/>
              <w:autoSpaceDN w:val="0"/>
              <w:adjustRightInd w:val="0"/>
              <w:spacing w:after="0" w:line="240" w:lineRule="auto"/>
              <w:rPr>
                <w:rFonts w:cstheme="minorHAnsi"/>
                <w:sz w:val="24"/>
                <w:szCs w:val="24"/>
              </w:rPr>
            </w:pPr>
            <w:r w:rsidRPr="00F1701C">
              <w:rPr>
                <w:rFonts w:cstheme="minorHAnsi"/>
                <w:sz w:val="24"/>
                <w:szCs w:val="24"/>
              </w:rPr>
              <w:t>Held a successful Wreaths Across America ceremony on 12/17 that was covered on local TV news.</w:t>
            </w:r>
          </w:p>
          <w:p w14:paraId="4257E77C" w14:textId="77777777" w:rsidR="00F1701C" w:rsidRPr="00F1701C" w:rsidRDefault="00F1701C" w:rsidP="00F1701C">
            <w:pPr>
              <w:numPr>
                <w:ilvl w:val="0"/>
                <w:numId w:val="7"/>
              </w:numPr>
              <w:autoSpaceDE w:val="0"/>
              <w:autoSpaceDN w:val="0"/>
              <w:adjustRightInd w:val="0"/>
              <w:spacing w:after="0" w:line="240" w:lineRule="auto"/>
              <w:rPr>
                <w:rFonts w:cstheme="minorHAnsi"/>
                <w:sz w:val="24"/>
                <w:szCs w:val="24"/>
              </w:rPr>
            </w:pPr>
            <w:r w:rsidRPr="00F1701C">
              <w:rPr>
                <w:rFonts w:cstheme="minorHAnsi"/>
                <w:sz w:val="24"/>
                <w:szCs w:val="24"/>
              </w:rPr>
              <w:t>Had successful Christmas activities for the residents, including a Christmas meal and a gift opening event with each resident receiving a donated gift from the MVH Memorial board.</w:t>
            </w:r>
          </w:p>
          <w:p w14:paraId="415855B1" w14:textId="77777777" w:rsidR="00F1701C" w:rsidRPr="00F1701C" w:rsidRDefault="00F1701C" w:rsidP="00F1701C">
            <w:pPr>
              <w:numPr>
                <w:ilvl w:val="0"/>
                <w:numId w:val="7"/>
              </w:numPr>
              <w:autoSpaceDE w:val="0"/>
              <w:autoSpaceDN w:val="0"/>
              <w:adjustRightInd w:val="0"/>
              <w:spacing w:after="0" w:line="240" w:lineRule="auto"/>
              <w:rPr>
                <w:rFonts w:cstheme="minorHAnsi"/>
                <w:sz w:val="24"/>
                <w:szCs w:val="24"/>
              </w:rPr>
            </w:pPr>
            <w:r w:rsidRPr="00F1701C">
              <w:rPr>
                <w:rFonts w:cstheme="minorHAnsi"/>
                <w:sz w:val="24"/>
                <w:szCs w:val="24"/>
              </w:rPr>
              <w:t>Traveler staff spend reduced by 24% in December.</w:t>
            </w:r>
          </w:p>
          <w:p w14:paraId="74DC3260" w14:textId="77777777" w:rsidR="00F1701C" w:rsidRPr="00F1701C" w:rsidRDefault="00F1701C" w:rsidP="00F1701C">
            <w:pPr>
              <w:numPr>
                <w:ilvl w:val="0"/>
                <w:numId w:val="7"/>
              </w:numPr>
              <w:autoSpaceDE w:val="0"/>
              <w:autoSpaceDN w:val="0"/>
              <w:adjustRightInd w:val="0"/>
              <w:spacing w:after="0" w:line="240" w:lineRule="auto"/>
              <w:rPr>
                <w:rFonts w:cstheme="minorHAnsi"/>
                <w:sz w:val="24"/>
                <w:szCs w:val="24"/>
              </w:rPr>
            </w:pPr>
            <w:r w:rsidRPr="00F1701C">
              <w:rPr>
                <w:rFonts w:cstheme="minorHAnsi"/>
                <w:sz w:val="24"/>
                <w:szCs w:val="24"/>
              </w:rPr>
              <w:t>Waitlist numbers decreased by 14.8%.</w:t>
            </w:r>
          </w:p>
        </w:tc>
      </w:tr>
    </w:tbl>
    <w:p w14:paraId="1812C8BB" w14:textId="77777777" w:rsidR="00F1701C" w:rsidRDefault="00F1701C" w:rsidP="00795FB7">
      <w:pPr>
        <w:autoSpaceDE w:val="0"/>
        <w:autoSpaceDN w:val="0"/>
        <w:adjustRightInd w:val="0"/>
        <w:spacing w:after="0" w:line="240" w:lineRule="auto"/>
        <w:rPr>
          <w:rFonts w:cstheme="minorHAnsi"/>
          <w:sz w:val="24"/>
          <w:szCs w:val="24"/>
        </w:rPr>
      </w:pPr>
    </w:p>
    <w:p w14:paraId="3A78E6F4" w14:textId="40EF7B48" w:rsidR="00795FB7" w:rsidRPr="00F1701C"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F1701C">
        <w:rPr>
          <w:rFonts w:cstheme="minorHAnsi"/>
          <w:b/>
          <w:bCs/>
          <w:sz w:val="24"/>
          <w:szCs w:val="24"/>
        </w:rPr>
        <w:t>Wins &amp; Challenges (3 of 3) | December 31, 2022</w:t>
      </w:r>
    </w:p>
    <w:p w14:paraId="3E594B34" w14:textId="66793F84" w:rsidR="00F1701C" w:rsidRDefault="00F1701C" w:rsidP="00F1701C">
      <w:pPr>
        <w:autoSpaceDE w:val="0"/>
        <w:autoSpaceDN w:val="0"/>
        <w:adjustRightInd w:val="0"/>
        <w:spacing w:after="0" w:line="240" w:lineRule="auto"/>
        <w:rPr>
          <w:rFonts w:cstheme="minorHAnsi"/>
          <w:sz w:val="24"/>
          <w:szCs w:val="24"/>
        </w:rPr>
      </w:pPr>
    </w:p>
    <w:tbl>
      <w:tblPr>
        <w:tblW w:w="5000" w:type="pct"/>
        <w:tblCellMar>
          <w:left w:w="0" w:type="dxa"/>
          <w:right w:w="0" w:type="dxa"/>
        </w:tblCellMar>
        <w:tblLook w:val="0420" w:firstRow="1" w:lastRow="0" w:firstColumn="0" w:lastColumn="0" w:noHBand="0" w:noVBand="1"/>
      </w:tblPr>
      <w:tblGrid>
        <w:gridCol w:w="865"/>
        <w:gridCol w:w="1256"/>
        <w:gridCol w:w="3438"/>
        <w:gridCol w:w="3781"/>
      </w:tblGrid>
      <w:tr w:rsidR="00F1701C" w:rsidRPr="00F1701C" w14:paraId="05AB4CFC" w14:textId="77777777" w:rsidTr="00F1701C">
        <w:tc>
          <w:tcPr>
            <w:tcW w:w="412" w:type="pct"/>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357E73C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Facility</w:t>
            </w:r>
          </w:p>
        </w:tc>
        <w:tc>
          <w:tcPr>
            <w:tcW w:w="386"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4F2D21B7"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Operations Status</w:t>
            </w:r>
          </w:p>
        </w:tc>
        <w:tc>
          <w:tcPr>
            <w:tcW w:w="2009"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11734F2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Current Operational Challenges</w:t>
            </w:r>
          </w:p>
        </w:tc>
        <w:tc>
          <w:tcPr>
            <w:tcW w:w="2192" w:type="pct"/>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0FB09E08"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Wins this Month</w:t>
            </w:r>
          </w:p>
        </w:tc>
      </w:tr>
      <w:tr w:rsidR="00F1701C" w:rsidRPr="00F1701C" w14:paraId="3983BC62" w14:textId="77777777" w:rsidTr="00F1701C">
        <w:tc>
          <w:tcPr>
            <w:tcW w:w="412" w:type="pct"/>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17B51C3E"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lastRenderedPageBreak/>
              <w:t>SWMVH</w:t>
            </w:r>
          </w:p>
        </w:tc>
        <w:tc>
          <w:tcPr>
            <w:tcW w:w="386"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1A092EF2"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Yellow</w:t>
            </w:r>
          </w:p>
        </w:tc>
        <w:tc>
          <w:tcPr>
            <w:tcW w:w="2009" w:type="pct"/>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6D5ACB22" w14:textId="77777777" w:rsidR="00F1701C" w:rsidRPr="00F1701C" w:rsidRDefault="00F1701C" w:rsidP="00F1701C">
            <w:pPr>
              <w:numPr>
                <w:ilvl w:val="0"/>
                <w:numId w:val="8"/>
              </w:numPr>
              <w:autoSpaceDE w:val="0"/>
              <w:autoSpaceDN w:val="0"/>
              <w:adjustRightInd w:val="0"/>
              <w:spacing w:after="0" w:line="240" w:lineRule="auto"/>
              <w:rPr>
                <w:rFonts w:cstheme="minorHAnsi"/>
                <w:sz w:val="24"/>
                <w:szCs w:val="24"/>
              </w:rPr>
            </w:pPr>
            <w:r w:rsidRPr="00F1701C">
              <w:rPr>
                <w:rFonts w:cstheme="minorHAnsi"/>
                <w:sz w:val="24"/>
                <w:szCs w:val="24"/>
              </w:rPr>
              <w:t xml:space="preserve">Cottage 5 has been turned over from the state to </w:t>
            </w:r>
            <w:proofErr w:type="spellStart"/>
            <w:r w:rsidRPr="00F1701C">
              <w:rPr>
                <w:rFonts w:cstheme="minorHAnsi"/>
                <w:sz w:val="24"/>
                <w:szCs w:val="24"/>
              </w:rPr>
              <w:t>Eduro</w:t>
            </w:r>
            <w:proofErr w:type="spellEnd"/>
            <w:r w:rsidRPr="00F1701C">
              <w:rPr>
                <w:rFonts w:cstheme="minorHAnsi"/>
                <w:sz w:val="24"/>
                <w:szCs w:val="24"/>
              </w:rPr>
              <w:t xml:space="preserve"> Healthcare, however the cottage is not VA licensed due to ongoing construction. Estimated projected completion date is June 2023.</w:t>
            </w:r>
          </w:p>
          <w:p w14:paraId="4F2FD3A8" w14:textId="77777777" w:rsidR="00F1701C" w:rsidRPr="00F1701C" w:rsidRDefault="00F1701C" w:rsidP="00F1701C">
            <w:pPr>
              <w:numPr>
                <w:ilvl w:val="0"/>
                <w:numId w:val="8"/>
              </w:numPr>
              <w:autoSpaceDE w:val="0"/>
              <w:autoSpaceDN w:val="0"/>
              <w:adjustRightInd w:val="0"/>
              <w:spacing w:after="0" w:line="240" w:lineRule="auto"/>
              <w:rPr>
                <w:rFonts w:cstheme="minorHAnsi"/>
                <w:sz w:val="24"/>
                <w:szCs w:val="24"/>
              </w:rPr>
            </w:pPr>
            <w:r w:rsidRPr="00F1701C">
              <w:rPr>
                <w:rFonts w:cstheme="minorHAnsi"/>
                <w:sz w:val="24"/>
                <w:szCs w:val="24"/>
              </w:rPr>
              <w:t>FY23 projected expenses currently exceed the budget for the year.</w:t>
            </w:r>
          </w:p>
        </w:tc>
        <w:tc>
          <w:tcPr>
            <w:tcW w:w="2192" w:type="pct"/>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78D7BB0E" w14:textId="77777777" w:rsidR="00F1701C" w:rsidRPr="00F1701C" w:rsidRDefault="00F1701C" w:rsidP="00F1701C">
            <w:pPr>
              <w:numPr>
                <w:ilvl w:val="0"/>
                <w:numId w:val="8"/>
              </w:numPr>
              <w:autoSpaceDE w:val="0"/>
              <w:autoSpaceDN w:val="0"/>
              <w:adjustRightInd w:val="0"/>
              <w:spacing w:after="0" w:line="240" w:lineRule="auto"/>
              <w:rPr>
                <w:rFonts w:cstheme="minorHAnsi"/>
                <w:sz w:val="24"/>
                <w:szCs w:val="24"/>
              </w:rPr>
            </w:pPr>
            <w:r w:rsidRPr="00F1701C">
              <w:rPr>
                <w:rFonts w:cstheme="minorHAnsi"/>
                <w:sz w:val="24"/>
                <w:szCs w:val="24"/>
              </w:rPr>
              <w:t>Waitlist numbers decreased from 27 to 10 in December – a 63% decrease.</w:t>
            </w:r>
          </w:p>
          <w:p w14:paraId="072FFEED" w14:textId="77777777" w:rsidR="00F1701C" w:rsidRPr="00F1701C" w:rsidRDefault="00F1701C" w:rsidP="00F1701C">
            <w:pPr>
              <w:numPr>
                <w:ilvl w:val="0"/>
                <w:numId w:val="8"/>
              </w:numPr>
              <w:autoSpaceDE w:val="0"/>
              <w:autoSpaceDN w:val="0"/>
              <w:adjustRightInd w:val="0"/>
              <w:spacing w:after="0" w:line="240" w:lineRule="auto"/>
              <w:rPr>
                <w:rFonts w:cstheme="minorHAnsi"/>
                <w:sz w:val="24"/>
                <w:szCs w:val="24"/>
              </w:rPr>
            </w:pPr>
            <w:r w:rsidRPr="00F1701C">
              <w:rPr>
                <w:rFonts w:cstheme="minorHAnsi"/>
                <w:sz w:val="24"/>
                <w:szCs w:val="24"/>
              </w:rPr>
              <w:t>Adopt a Veteran for Christmas was a success, all Veterans plus 2 admissions were adopted to ensure residents have a great Christmas and the lunches were successful.</w:t>
            </w:r>
          </w:p>
          <w:p w14:paraId="575380DF" w14:textId="77777777" w:rsidR="00F1701C" w:rsidRPr="00F1701C" w:rsidRDefault="00F1701C" w:rsidP="00F1701C">
            <w:pPr>
              <w:numPr>
                <w:ilvl w:val="0"/>
                <w:numId w:val="8"/>
              </w:numPr>
              <w:autoSpaceDE w:val="0"/>
              <w:autoSpaceDN w:val="0"/>
              <w:adjustRightInd w:val="0"/>
              <w:spacing w:after="0" w:line="240" w:lineRule="auto"/>
              <w:rPr>
                <w:rFonts w:cstheme="minorHAnsi"/>
                <w:sz w:val="24"/>
                <w:szCs w:val="24"/>
              </w:rPr>
            </w:pPr>
            <w:r w:rsidRPr="00F1701C">
              <w:rPr>
                <w:rFonts w:cstheme="minorHAnsi"/>
                <w:sz w:val="24"/>
                <w:szCs w:val="24"/>
              </w:rPr>
              <w:t xml:space="preserve">Various activities were completed with the Veterans, including weekly outings to Walmart, haircuts, and other locations. </w:t>
            </w:r>
          </w:p>
        </w:tc>
      </w:tr>
      <w:tr w:rsidR="00F1701C" w:rsidRPr="00F1701C" w14:paraId="5CCA125F" w14:textId="77777777" w:rsidTr="00F1701C">
        <w:tc>
          <w:tcPr>
            <w:tcW w:w="412" w:type="pct"/>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0DDEDF7C"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EMVH</w:t>
            </w:r>
          </w:p>
        </w:tc>
        <w:tc>
          <w:tcPr>
            <w:tcW w:w="386"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3A305065"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sz w:val="24"/>
                <w:szCs w:val="24"/>
              </w:rPr>
              <w:t>Yellow</w:t>
            </w:r>
          </w:p>
        </w:tc>
        <w:tc>
          <w:tcPr>
            <w:tcW w:w="2009" w:type="pct"/>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6A88FCF1" w14:textId="77777777" w:rsidR="00F1701C" w:rsidRPr="00F1701C" w:rsidRDefault="00F1701C" w:rsidP="00F1701C">
            <w:pPr>
              <w:numPr>
                <w:ilvl w:val="0"/>
                <w:numId w:val="9"/>
              </w:numPr>
              <w:autoSpaceDE w:val="0"/>
              <w:autoSpaceDN w:val="0"/>
              <w:adjustRightInd w:val="0"/>
              <w:spacing w:after="0" w:line="240" w:lineRule="auto"/>
              <w:rPr>
                <w:rFonts w:cstheme="minorHAnsi"/>
                <w:sz w:val="24"/>
                <w:szCs w:val="24"/>
              </w:rPr>
            </w:pPr>
            <w:r w:rsidRPr="00F1701C">
              <w:rPr>
                <w:rFonts w:cstheme="minorHAnsi"/>
                <w:sz w:val="24"/>
                <w:szCs w:val="24"/>
              </w:rPr>
              <w:t>Difficulty filling vacant positions.</w:t>
            </w:r>
          </w:p>
          <w:p w14:paraId="245CA9FB" w14:textId="77777777" w:rsidR="00F1701C" w:rsidRPr="00F1701C" w:rsidRDefault="00F1701C" w:rsidP="00F1701C">
            <w:pPr>
              <w:numPr>
                <w:ilvl w:val="0"/>
                <w:numId w:val="9"/>
              </w:numPr>
              <w:autoSpaceDE w:val="0"/>
              <w:autoSpaceDN w:val="0"/>
              <w:adjustRightInd w:val="0"/>
              <w:spacing w:after="0" w:line="240" w:lineRule="auto"/>
              <w:rPr>
                <w:rFonts w:cstheme="minorHAnsi"/>
                <w:sz w:val="24"/>
                <w:szCs w:val="24"/>
              </w:rPr>
            </w:pPr>
            <w:r w:rsidRPr="00F1701C">
              <w:rPr>
                <w:rFonts w:cstheme="minorHAnsi"/>
                <w:sz w:val="24"/>
                <w:szCs w:val="24"/>
              </w:rPr>
              <w:t>Contract has been signed through June 2023 with GMC – will need to address issues surrounding a contract extension early next year.</w:t>
            </w:r>
          </w:p>
          <w:p w14:paraId="11F1C266" w14:textId="77777777" w:rsidR="00F1701C" w:rsidRPr="00F1701C" w:rsidRDefault="00F1701C" w:rsidP="00F1701C">
            <w:pPr>
              <w:numPr>
                <w:ilvl w:val="0"/>
                <w:numId w:val="9"/>
              </w:numPr>
              <w:autoSpaceDE w:val="0"/>
              <w:autoSpaceDN w:val="0"/>
              <w:adjustRightInd w:val="0"/>
              <w:spacing w:after="0" w:line="240" w:lineRule="auto"/>
              <w:rPr>
                <w:rFonts w:cstheme="minorHAnsi"/>
                <w:sz w:val="24"/>
                <w:szCs w:val="24"/>
              </w:rPr>
            </w:pPr>
            <w:r w:rsidRPr="00F1701C">
              <w:rPr>
                <w:rFonts w:cstheme="minorHAnsi"/>
                <w:sz w:val="24"/>
                <w:szCs w:val="24"/>
              </w:rPr>
              <w:t>To address building infrastructure concerns due to the age of the facility, there is an interior remodeling project underway using ARPA funds.</w:t>
            </w:r>
          </w:p>
        </w:tc>
        <w:tc>
          <w:tcPr>
            <w:tcW w:w="2192" w:type="pct"/>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02BB9016" w14:textId="77777777" w:rsidR="00F1701C" w:rsidRPr="00F1701C" w:rsidRDefault="00F1701C" w:rsidP="00F1701C">
            <w:pPr>
              <w:numPr>
                <w:ilvl w:val="0"/>
                <w:numId w:val="9"/>
              </w:numPr>
              <w:autoSpaceDE w:val="0"/>
              <w:autoSpaceDN w:val="0"/>
              <w:adjustRightInd w:val="0"/>
              <w:spacing w:after="0" w:line="240" w:lineRule="auto"/>
              <w:rPr>
                <w:rFonts w:cstheme="minorHAnsi"/>
                <w:sz w:val="24"/>
                <w:szCs w:val="24"/>
              </w:rPr>
            </w:pPr>
            <w:r w:rsidRPr="00F1701C">
              <w:rPr>
                <w:rFonts w:cstheme="minorHAnsi"/>
                <w:sz w:val="24"/>
                <w:szCs w:val="24"/>
              </w:rPr>
              <w:t xml:space="preserve">DPHHS and GMC signed a contract extension for GMC to manage EMVH through June 2023. </w:t>
            </w:r>
          </w:p>
          <w:p w14:paraId="709344FA" w14:textId="77777777" w:rsidR="00F1701C" w:rsidRPr="00F1701C" w:rsidRDefault="00F1701C" w:rsidP="00F1701C">
            <w:pPr>
              <w:numPr>
                <w:ilvl w:val="0"/>
                <w:numId w:val="9"/>
              </w:numPr>
              <w:autoSpaceDE w:val="0"/>
              <w:autoSpaceDN w:val="0"/>
              <w:adjustRightInd w:val="0"/>
              <w:spacing w:after="0" w:line="240" w:lineRule="auto"/>
              <w:rPr>
                <w:rFonts w:cstheme="minorHAnsi"/>
                <w:sz w:val="24"/>
                <w:szCs w:val="24"/>
              </w:rPr>
            </w:pPr>
            <w:r w:rsidRPr="00F1701C">
              <w:rPr>
                <w:rFonts w:cstheme="minorHAnsi"/>
                <w:sz w:val="24"/>
                <w:szCs w:val="24"/>
              </w:rPr>
              <w:t xml:space="preserve">Hired a new facility administrator, who is currently being mentored by GMC’s VP of Clinical Services. </w:t>
            </w:r>
          </w:p>
        </w:tc>
      </w:tr>
      <w:tr w:rsidR="00F1701C" w:rsidRPr="00F1701C" w14:paraId="58149BD2" w14:textId="77777777" w:rsidTr="00F1701C">
        <w:tc>
          <w:tcPr>
            <w:tcW w:w="412" w:type="pct"/>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4F2FB87A"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Overall</w:t>
            </w:r>
          </w:p>
        </w:tc>
        <w:tc>
          <w:tcPr>
            <w:tcW w:w="386"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74C504B9" w14:textId="77777777" w:rsidR="00F1701C" w:rsidRPr="00F1701C" w:rsidRDefault="00F1701C" w:rsidP="00F1701C">
            <w:pPr>
              <w:autoSpaceDE w:val="0"/>
              <w:autoSpaceDN w:val="0"/>
              <w:adjustRightInd w:val="0"/>
              <w:spacing w:after="0" w:line="240" w:lineRule="auto"/>
              <w:rPr>
                <w:rFonts w:cstheme="minorHAnsi"/>
                <w:sz w:val="24"/>
                <w:szCs w:val="24"/>
              </w:rPr>
            </w:pPr>
            <w:r w:rsidRPr="00F1701C">
              <w:rPr>
                <w:rFonts w:cstheme="minorHAnsi"/>
                <w:b/>
                <w:bCs/>
                <w:sz w:val="24"/>
                <w:szCs w:val="24"/>
              </w:rPr>
              <w:t>Yellow</w:t>
            </w:r>
          </w:p>
        </w:tc>
        <w:tc>
          <w:tcPr>
            <w:tcW w:w="2009" w:type="pct"/>
            <w:tcBorders>
              <w:top w:val="single" w:sz="8" w:space="0" w:color="646464"/>
              <w:left w:val="single" w:sz="8" w:space="0" w:color="646464"/>
              <w:bottom w:val="single" w:sz="8" w:space="0" w:color="646464"/>
              <w:right w:val="single" w:sz="8" w:space="0" w:color="646464"/>
            </w:tcBorders>
            <w:shd w:val="clear" w:color="auto" w:fill="F2F2F2"/>
            <w:tcMar>
              <w:top w:w="72" w:type="dxa"/>
              <w:left w:w="72" w:type="dxa"/>
              <w:bottom w:w="72" w:type="dxa"/>
              <w:right w:w="72" w:type="dxa"/>
            </w:tcMar>
            <w:vAlign w:val="center"/>
            <w:hideMark/>
          </w:tcPr>
          <w:p w14:paraId="45531655" w14:textId="77777777" w:rsidR="00F1701C" w:rsidRPr="00F1701C" w:rsidRDefault="00F1701C" w:rsidP="00F1701C">
            <w:pPr>
              <w:numPr>
                <w:ilvl w:val="0"/>
                <w:numId w:val="10"/>
              </w:numPr>
              <w:autoSpaceDE w:val="0"/>
              <w:autoSpaceDN w:val="0"/>
              <w:adjustRightInd w:val="0"/>
              <w:spacing w:after="0" w:line="240" w:lineRule="auto"/>
              <w:rPr>
                <w:rFonts w:cstheme="minorHAnsi"/>
                <w:sz w:val="24"/>
                <w:szCs w:val="24"/>
              </w:rPr>
            </w:pPr>
            <w:r w:rsidRPr="00F1701C">
              <w:rPr>
                <w:rFonts w:cstheme="minorHAnsi"/>
                <w:sz w:val="24"/>
                <w:szCs w:val="24"/>
              </w:rPr>
              <w:t>Lack of electronic health records system makes it difficult to track patient quality and safety measures.</w:t>
            </w:r>
          </w:p>
          <w:p w14:paraId="1F8C8EBA" w14:textId="77777777" w:rsidR="00F1701C" w:rsidRPr="00F1701C" w:rsidRDefault="00F1701C" w:rsidP="00F1701C">
            <w:pPr>
              <w:numPr>
                <w:ilvl w:val="0"/>
                <w:numId w:val="10"/>
              </w:numPr>
              <w:autoSpaceDE w:val="0"/>
              <w:autoSpaceDN w:val="0"/>
              <w:adjustRightInd w:val="0"/>
              <w:spacing w:after="0" w:line="240" w:lineRule="auto"/>
              <w:rPr>
                <w:rFonts w:cstheme="minorHAnsi"/>
                <w:sz w:val="24"/>
                <w:szCs w:val="24"/>
              </w:rPr>
            </w:pPr>
            <w:r w:rsidRPr="00F1701C">
              <w:rPr>
                <w:rFonts w:cstheme="minorHAnsi"/>
                <w:sz w:val="24"/>
                <w:szCs w:val="24"/>
              </w:rPr>
              <w:t>Immature HR, Finance, and IT services across all facilities.</w:t>
            </w:r>
          </w:p>
          <w:p w14:paraId="6E4C32DC" w14:textId="77777777" w:rsidR="00F1701C" w:rsidRPr="00F1701C" w:rsidRDefault="00F1701C" w:rsidP="00F1701C">
            <w:pPr>
              <w:numPr>
                <w:ilvl w:val="0"/>
                <w:numId w:val="10"/>
              </w:numPr>
              <w:autoSpaceDE w:val="0"/>
              <w:autoSpaceDN w:val="0"/>
              <w:adjustRightInd w:val="0"/>
              <w:spacing w:after="0" w:line="240" w:lineRule="auto"/>
              <w:rPr>
                <w:rFonts w:cstheme="minorHAnsi"/>
                <w:sz w:val="24"/>
                <w:szCs w:val="24"/>
              </w:rPr>
            </w:pPr>
            <w:r w:rsidRPr="00F1701C">
              <w:rPr>
                <w:rFonts w:cstheme="minorHAnsi"/>
                <w:sz w:val="24"/>
                <w:szCs w:val="24"/>
              </w:rPr>
              <w:t>Lack of quality improvement programs.</w:t>
            </w:r>
          </w:p>
          <w:p w14:paraId="7C481216" w14:textId="77777777" w:rsidR="00F1701C" w:rsidRPr="00F1701C" w:rsidRDefault="00F1701C" w:rsidP="00F1701C">
            <w:pPr>
              <w:numPr>
                <w:ilvl w:val="0"/>
                <w:numId w:val="10"/>
              </w:numPr>
              <w:autoSpaceDE w:val="0"/>
              <w:autoSpaceDN w:val="0"/>
              <w:adjustRightInd w:val="0"/>
              <w:spacing w:after="0" w:line="240" w:lineRule="auto"/>
              <w:rPr>
                <w:rFonts w:cstheme="minorHAnsi"/>
                <w:sz w:val="24"/>
                <w:szCs w:val="24"/>
              </w:rPr>
            </w:pPr>
            <w:r w:rsidRPr="00F1701C">
              <w:rPr>
                <w:rFonts w:cstheme="minorHAnsi"/>
                <w:sz w:val="24"/>
                <w:szCs w:val="24"/>
              </w:rPr>
              <w:lastRenderedPageBreak/>
              <w:t>Lack of ability to recruit experienced full-time employees.</w:t>
            </w:r>
          </w:p>
          <w:p w14:paraId="73EAD30B" w14:textId="77777777" w:rsidR="00F1701C" w:rsidRPr="00F1701C" w:rsidRDefault="00F1701C" w:rsidP="00F1701C">
            <w:pPr>
              <w:numPr>
                <w:ilvl w:val="0"/>
                <w:numId w:val="10"/>
              </w:numPr>
              <w:autoSpaceDE w:val="0"/>
              <w:autoSpaceDN w:val="0"/>
              <w:adjustRightInd w:val="0"/>
              <w:spacing w:after="0" w:line="240" w:lineRule="auto"/>
              <w:rPr>
                <w:rFonts w:cstheme="minorHAnsi"/>
                <w:sz w:val="24"/>
                <w:szCs w:val="24"/>
              </w:rPr>
            </w:pPr>
            <w:r w:rsidRPr="00F1701C">
              <w:rPr>
                <w:rFonts w:cstheme="minorHAnsi"/>
                <w:sz w:val="24"/>
                <w:szCs w:val="24"/>
              </w:rPr>
              <w:t xml:space="preserve">Lack of clinical leadership, and other human resources at the Division level. </w:t>
            </w:r>
          </w:p>
        </w:tc>
        <w:tc>
          <w:tcPr>
            <w:tcW w:w="2192" w:type="pct"/>
            <w:tcBorders>
              <w:top w:val="single" w:sz="8" w:space="0" w:color="646464"/>
              <w:left w:val="single" w:sz="8" w:space="0" w:color="646464"/>
              <w:bottom w:val="single" w:sz="8" w:space="0" w:color="646464"/>
              <w:right w:val="single" w:sz="8" w:space="0" w:color="646464"/>
            </w:tcBorders>
            <w:shd w:val="clear" w:color="auto" w:fill="F2F2F2"/>
            <w:tcMar>
              <w:top w:w="72" w:type="dxa"/>
              <w:left w:w="72" w:type="dxa"/>
              <w:bottom w:w="72" w:type="dxa"/>
              <w:right w:w="72" w:type="dxa"/>
            </w:tcMar>
            <w:vAlign w:val="center"/>
            <w:hideMark/>
          </w:tcPr>
          <w:p w14:paraId="12AF5358" w14:textId="77777777" w:rsidR="00F1701C" w:rsidRPr="00F1701C" w:rsidRDefault="00F1701C" w:rsidP="00F1701C">
            <w:pPr>
              <w:numPr>
                <w:ilvl w:val="0"/>
                <w:numId w:val="10"/>
              </w:numPr>
              <w:autoSpaceDE w:val="0"/>
              <w:autoSpaceDN w:val="0"/>
              <w:adjustRightInd w:val="0"/>
              <w:spacing w:after="0" w:line="240" w:lineRule="auto"/>
              <w:rPr>
                <w:rFonts w:cstheme="minorHAnsi"/>
                <w:sz w:val="24"/>
                <w:szCs w:val="24"/>
              </w:rPr>
            </w:pPr>
            <w:r w:rsidRPr="00F1701C">
              <w:rPr>
                <w:rFonts w:cstheme="minorHAnsi"/>
                <w:sz w:val="24"/>
                <w:szCs w:val="24"/>
              </w:rPr>
              <w:lastRenderedPageBreak/>
              <w:t>Alvarez &amp; Marsal’s report was published in December and was shared with stakeholder groups, including non-profit partners, unions, and facilities staff.</w:t>
            </w:r>
          </w:p>
          <w:p w14:paraId="6B1D24AB" w14:textId="77777777" w:rsidR="00F1701C" w:rsidRPr="00F1701C" w:rsidRDefault="00F1701C" w:rsidP="00F1701C">
            <w:pPr>
              <w:numPr>
                <w:ilvl w:val="0"/>
                <w:numId w:val="10"/>
              </w:numPr>
              <w:autoSpaceDE w:val="0"/>
              <w:autoSpaceDN w:val="0"/>
              <w:adjustRightInd w:val="0"/>
              <w:spacing w:after="0" w:line="240" w:lineRule="auto"/>
              <w:rPr>
                <w:rFonts w:cstheme="minorHAnsi"/>
                <w:sz w:val="24"/>
                <w:szCs w:val="24"/>
              </w:rPr>
            </w:pPr>
            <w:r w:rsidRPr="00F1701C">
              <w:rPr>
                <w:rFonts w:cstheme="minorHAnsi"/>
                <w:sz w:val="24"/>
                <w:szCs w:val="24"/>
              </w:rPr>
              <w:t>The recommendations of the A&amp;M report will be presented to the Montana State Legislature at the beginning of January once session begins.</w:t>
            </w:r>
          </w:p>
        </w:tc>
      </w:tr>
    </w:tbl>
    <w:p w14:paraId="54869B92" w14:textId="77777777" w:rsidR="00F1701C" w:rsidRPr="00F1701C" w:rsidRDefault="00F1701C" w:rsidP="00F1701C">
      <w:pPr>
        <w:autoSpaceDE w:val="0"/>
        <w:autoSpaceDN w:val="0"/>
        <w:adjustRightInd w:val="0"/>
        <w:spacing w:after="0" w:line="240" w:lineRule="auto"/>
        <w:rPr>
          <w:rFonts w:cstheme="minorHAnsi"/>
          <w:sz w:val="24"/>
          <w:szCs w:val="24"/>
        </w:rPr>
      </w:pPr>
    </w:p>
    <w:p w14:paraId="421E3DF9" w14:textId="77777777" w:rsidR="00795FB7" w:rsidRDefault="00795FB7" w:rsidP="00795FB7">
      <w:pPr>
        <w:autoSpaceDE w:val="0"/>
        <w:autoSpaceDN w:val="0"/>
        <w:adjustRightInd w:val="0"/>
        <w:spacing w:after="0" w:line="240" w:lineRule="auto"/>
        <w:rPr>
          <w:rFonts w:cstheme="minorHAnsi"/>
          <w:sz w:val="24"/>
          <w:szCs w:val="24"/>
        </w:rPr>
      </w:pPr>
    </w:p>
    <w:p w14:paraId="4B40E227" w14:textId="2186532B" w:rsidR="00795FB7" w:rsidRPr="00F1701C" w:rsidRDefault="00795FB7" w:rsidP="00795FB7">
      <w:pPr>
        <w:pStyle w:val="ListParagraph"/>
        <w:numPr>
          <w:ilvl w:val="0"/>
          <w:numId w:val="1"/>
        </w:numPr>
        <w:autoSpaceDE w:val="0"/>
        <w:autoSpaceDN w:val="0"/>
        <w:adjustRightInd w:val="0"/>
        <w:spacing w:after="0" w:line="240" w:lineRule="auto"/>
        <w:rPr>
          <w:rFonts w:cstheme="minorHAnsi"/>
          <w:b/>
          <w:bCs/>
          <w:sz w:val="24"/>
          <w:szCs w:val="24"/>
        </w:rPr>
      </w:pPr>
      <w:r w:rsidRPr="00F1701C">
        <w:rPr>
          <w:rFonts w:cstheme="minorHAnsi"/>
          <w:b/>
          <w:bCs/>
          <w:sz w:val="24"/>
          <w:szCs w:val="24"/>
        </w:rPr>
        <w:t>Back Page</w:t>
      </w:r>
    </w:p>
    <w:p w14:paraId="1330BEE6" w14:textId="77777777" w:rsidR="00795FB7" w:rsidRPr="00795FB7" w:rsidRDefault="00795FB7" w:rsidP="00795FB7">
      <w:pPr>
        <w:autoSpaceDE w:val="0"/>
        <w:autoSpaceDN w:val="0"/>
        <w:adjustRightInd w:val="0"/>
        <w:spacing w:after="0" w:line="240" w:lineRule="auto"/>
        <w:rPr>
          <w:rFonts w:cstheme="minorHAnsi"/>
          <w:sz w:val="24"/>
          <w:szCs w:val="24"/>
        </w:rPr>
      </w:pPr>
      <w:r w:rsidRPr="00795FB7">
        <w:rPr>
          <w:rFonts w:cstheme="minorHAnsi"/>
          <w:sz w:val="24"/>
          <w:szCs w:val="24"/>
        </w:rPr>
        <w:t>© Copyright 2023</w:t>
      </w:r>
    </w:p>
    <w:p w14:paraId="50183108" w14:textId="77777777" w:rsidR="00795FB7" w:rsidRPr="00795FB7" w:rsidRDefault="00795FB7" w:rsidP="00795FB7">
      <w:pPr>
        <w:autoSpaceDE w:val="0"/>
        <w:autoSpaceDN w:val="0"/>
        <w:adjustRightInd w:val="0"/>
        <w:spacing w:after="0" w:line="240" w:lineRule="auto"/>
        <w:rPr>
          <w:rFonts w:cstheme="minorHAnsi"/>
          <w:sz w:val="24"/>
          <w:szCs w:val="24"/>
        </w:rPr>
      </w:pPr>
      <w:r w:rsidRPr="00795FB7">
        <w:rPr>
          <w:rFonts w:cstheme="minorHAnsi"/>
          <w:sz w:val="24"/>
          <w:szCs w:val="24"/>
        </w:rPr>
        <w:t xml:space="preserve">Alvarez &amp; Marsal Holdings, LLC. All rights reserved. ALVAREZ &amp; MARSAL®, </w:t>
      </w:r>
    </w:p>
    <w:p w14:paraId="4B1DD194" w14:textId="77777777" w:rsidR="00795FB7" w:rsidRPr="00795FB7" w:rsidRDefault="00795FB7" w:rsidP="00795FB7">
      <w:pPr>
        <w:autoSpaceDE w:val="0"/>
        <w:autoSpaceDN w:val="0"/>
        <w:adjustRightInd w:val="0"/>
        <w:spacing w:after="0" w:line="240" w:lineRule="auto"/>
        <w:rPr>
          <w:rFonts w:cstheme="minorHAnsi"/>
          <w:sz w:val="24"/>
          <w:szCs w:val="24"/>
        </w:rPr>
      </w:pPr>
      <w:r w:rsidRPr="00795FB7">
        <w:rPr>
          <w:rFonts w:cstheme="minorHAnsi"/>
          <w:sz w:val="24"/>
          <w:szCs w:val="24"/>
        </w:rPr>
        <w:t>® and A&amp;M® are trademarks of Alvarez &amp; Marsal Holdings, LLC.</w:t>
      </w:r>
    </w:p>
    <w:p w14:paraId="51FDF428" w14:textId="77777777" w:rsidR="00795FB7" w:rsidRPr="00795FB7" w:rsidRDefault="00795FB7" w:rsidP="00795FB7">
      <w:pPr>
        <w:autoSpaceDE w:val="0"/>
        <w:autoSpaceDN w:val="0"/>
        <w:adjustRightInd w:val="0"/>
        <w:spacing w:after="0" w:line="240" w:lineRule="auto"/>
        <w:ind w:left="288"/>
        <w:rPr>
          <w:rFonts w:cstheme="minorHAnsi"/>
          <w:sz w:val="24"/>
          <w:szCs w:val="24"/>
        </w:rPr>
      </w:pPr>
    </w:p>
    <w:p w14:paraId="168C70C2" w14:textId="5343109E" w:rsidR="00705C70" w:rsidRDefault="00705C70">
      <w:pPr>
        <w:rPr>
          <w:rFonts w:cstheme="minorHAnsi"/>
          <w:sz w:val="24"/>
          <w:szCs w:val="24"/>
        </w:rPr>
      </w:pPr>
    </w:p>
    <w:p w14:paraId="4EE15597" w14:textId="77777777" w:rsidR="00B33653" w:rsidRPr="00795FB7" w:rsidRDefault="00B33653">
      <w:pPr>
        <w:rPr>
          <w:rFonts w:cstheme="minorHAnsi"/>
          <w:sz w:val="24"/>
          <w:szCs w:val="24"/>
        </w:rPr>
      </w:pPr>
    </w:p>
    <w:sectPr w:rsidR="00B33653" w:rsidRPr="00795FB7" w:rsidSect="002912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A9C"/>
    <w:multiLevelType w:val="hybridMultilevel"/>
    <w:tmpl w:val="6D64ECD4"/>
    <w:lvl w:ilvl="0" w:tplc="0F14EBCE">
      <w:start w:val="1"/>
      <w:numFmt w:val="bullet"/>
      <w:lvlText w:val=""/>
      <w:lvlJc w:val="left"/>
      <w:pPr>
        <w:tabs>
          <w:tab w:val="num" w:pos="720"/>
        </w:tabs>
        <w:ind w:left="720" w:hanging="360"/>
      </w:pPr>
      <w:rPr>
        <w:rFonts w:ascii="Wingdings" w:hAnsi="Wingdings" w:hint="default"/>
      </w:rPr>
    </w:lvl>
    <w:lvl w:ilvl="1" w:tplc="C9740874" w:tentative="1">
      <w:start w:val="1"/>
      <w:numFmt w:val="bullet"/>
      <w:lvlText w:val=""/>
      <w:lvlJc w:val="left"/>
      <w:pPr>
        <w:tabs>
          <w:tab w:val="num" w:pos="1440"/>
        </w:tabs>
        <w:ind w:left="1440" w:hanging="360"/>
      </w:pPr>
      <w:rPr>
        <w:rFonts w:ascii="Wingdings" w:hAnsi="Wingdings" w:hint="default"/>
      </w:rPr>
    </w:lvl>
    <w:lvl w:ilvl="2" w:tplc="ACE2CBA4" w:tentative="1">
      <w:start w:val="1"/>
      <w:numFmt w:val="bullet"/>
      <w:lvlText w:val=""/>
      <w:lvlJc w:val="left"/>
      <w:pPr>
        <w:tabs>
          <w:tab w:val="num" w:pos="2160"/>
        </w:tabs>
        <w:ind w:left="2160" w:hanging="360"/>
      </w:pPr>
      <w:rPr>
        <w:rFonts w:ascii="Wingdings" w:hAnsi="Wingdings" w:hint="default"/>
      </w:rPr>
    </w:lvl>
    <w:lvl w:ilvl="3" w:tplc="00A046A6" w:tentative="1">
      <w:start w:val="1"/>
      <w:numFmt w:val="bullet"/>
      <w:lvlText w:val=""/>
      <w:lvlJc w:val="left"/>
      <w:pPr>
        <w:tabs>
          <w:tab w:val="num" w:pos="2880"/>
        </w:tabs>
        <w:ind w:left="2880" w:hanging="360"/>
      </w:pPr>
      <w:rPr>
        <w:rFonts w:ascii="Wingdings" w:hAnsi="Wingdings" w:hint="default"/>
      </w:rPr>
    </w:lvl>
    <w:lvl w:ilvl="4" w:tplc="99AE2D26" w:tentative="1">
      <w:start w:val="1"/>
      <w:numFmt w:val="bullet"/>
      <w:lvlText w:val=""/>
      <w:lvlJc w:val="left"/>
      <w:pPr>
        <w:tabs>
          <w:tab w:val="num" w:pos="3600"/>
        </w:tabs>
        <w:ind w:left="3600" w:hanging="360"/>
      </w:pPr>
      <w:rPr>
        <w:rFonts w:ascii="Wingdings" w:hAnsi="Wingdings" w:hint="default"/>
      </w:rPr>
    </w:lvl>
    <w:lvl w:ilvl="5" w:tplc="9800B1FA" w:tentative="1">
      <w:start w:val="1"/>
      <w:numFmt w:val="bullet"/>
      <w:lvlText w:val=""/>
      <w:lvlJc w:val="left"/>
      <w:pPr>
        <w:tabs>
          <w:tab w:val="num" w:pos="4320"/>
        </w:tabs>
        <w:ind w:left="4320" w:hanging="360"/>
      </w:pPr>
      <w:rPr>
        <w:rFonts w:ascii="Wingdings" w:hAnsi="Wingdings" w:hint="default"/>
      </w:rPr>
    </w:lvl>
    <w:lvl w:ilvl="6" w:tplc="71FE7702" w:tentative="1">
      <w:start w:val="1"/>
      <w:numFmt w:val="bullet"/>
      <w:lvlText w:val=""/>
      <w:lvlJc w:val="left"/>
      <w:pPr>
        <w:tabs>
          <w:tab w:val="num" w:pos="5040"/>
        </w:tabs>
        <w:ind w:left="5040" w:hanging="360"/>
      </w:pPr>
      <w:rPr>
        <w:rFonts w:ascii="Wingdings" w:hAnsi="Wingdings" w:hint="default"/>
      </w:rPr>
    </w:lvl>
    <w:lvl w:ilvl="7" w:tplc="ECF285AA" w:tentative="1">
      <w:start w:val="1"/>
      <w:numFmt w:val="bullet"/>
      <w:lvlText w:val=""/>
      <w:lvlJc w:val="left"/>
      <w:pPr>
        <w:tabs>
          <w:tab w:val="num" w:pos="5760"/>
        </w:tabs>
        <w:ind w:left="5760" w:hanging="360"/>
      </w:pPr>
      <w:rPr>
        <w:rFonts w:ascii="Wingdings" w:hAnsi="Wingdings" w:hint="default"/>
      </w:rPr>
    </w:lvl>
    <w:lvl w:ilvl="8" w:tplc="37F87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A406D3"/>
    <w:multiLevelType w:val="hybridMultilevel"/>
    <w:tmpl w:val="ECFE4E18"/>
    <w:lvl w:ilvl="0" w:tplc="8020CB90">
      <w:start w:val="1"/>
      <w:numFmt w:val="bullet"/>
      <w:lvlText w:val=""/>
      <w:lvlJc w:val="left"/>
      <w:pPr>
        <w:tabs>
          <w:tab w:val="num" w:pos="720"/>
        </w:tabs>
        <w:ind w:left="720" w:hanging="360"/>
      </w:pPr>
      <w:rPr>
        <w:rFonts w:ascii="Wingdings" w:hAnsi="Wingdings" w:hint="default"/>
      </w:rPr>
    </w:lvl>
    <w:lvl w:ilvl="1" w:tplc="FC109D0E" w:tentative="1">
      <w:start w:val="1"/>
      <w:numFmt w:val="bullet"/>
      <w:lvlText w:val=""/>
      <w:lvlJc w:val="left"/>
      <w:pPr>
        <w:tabs>
          <w:tab w:val="num" w:pos="1440"/>
        </w:tabs>
        <w:ind w:left="1440" w:hanging="360"/>
      </w:pPr>
      <w:rPr>
        <w:rFonts w:ascii="Wingdings" w:hAnsi="Wingdings" w:hint="default"/>
      </w:rPr>
    </w:lvl>
    <w:lvl w:ilvl="2" w:tplc="A4A00CBC" w:tentative="1">
      <w:start w:val="1"/>
      <w:numFmt w:val="bullet"/>
      <w:lvlText w:val=""/>
      <w:lvlJc w:val="left"/>
      <w:pPr>
        <w:tabs>
          <w:tab w:val="num" w:pos="2160"/>
        </w:tabs>
        <w:ind w:left="2160" w:hanging="360"/>
      </w:pPr>
      <w:rPr>
        <w:rFonts w:ascii="Wingdings" w:hAnsi="Wingdings" w:hint="default"/>
      </w:rPr>
    </w:lvl>
    <w:lvl w:ilvl="3" w:tplc="D8C0CE90" w:tentative="1">
      <w:start w:val="1"/>
      <w:numFmt w:val="bullet"/>
      <w:lvlText w:val=""/>
      <w:lvlJc w:val="left"/>
      <w:pPr>
        <w:tabs>
          <w:tab w:val="num" w:pos="2880"/>
        </w:tabs>
        <w:ind w:left="2880" w:hanging="360"/>
      </w:pPr>
      <w:rPr>
        <w:rFonts w:ascii="Wingdings" w:hAnsi="Wingdings" w:hint="default"/>
      </w:rPr>
    </w:lvl>
    <w:lvl w:ilvl="4" w:tplc="F0323D5E" w:tentative="1">
      <w:start w:val="1"/>
      <w:numFmt w:val="bullet"/>
      <w:lvlText w:val=""/>
      <w:lvlJc w:val="left"/>
      <w:pPr>
        <w:tabs>
          <w:tab w:val="num" w:pos="3600"/>
        </w:tabs>
        <w:ind w:left="3600" w:hanging="360"/>
      </w:pPr>
      <w:rPr>
        <w:rFonts w:ascii="Wingdings" w:hAnsi="Wingdings" w:hint="default"/>
      </w:rPr>
    </w:lvl>
    <w:lvl w:ilvl="5" w:tplc="AE58E70C" w:tentative="1">
      <w:start w:val="1"/>
      <w:numFmt w:val="bullet"/>
      <w:lvlText w:val=""/>
      <w:lvlJc w:val="left"/>
      <w:pPr>
        <w:tabs>
          <w:tab w:val="num" w:pos="4320"/>
        </w:tabs>
        <w:ind w:left="4320" w:hanging="360"/>
      </w:pPr>
      <w:rPr>
        <w:rFonts w:ascii="Wingdings" w:hAnsi="Wingdings" w:hint="default"/>
      </w:rPr>
    </w:lvl>
    <w:lvl w:ilvl="6" w:tplc="7B90D2B6" w:tentative="1">
      <w:start w:val="1"/>
      <w:numFmt w:val="bullet"/>
      <w:lvlText w:val=""/>
      <w:lvlJc w:val="left"/>
      <w:pPr>
        <w:tabs>
          <w:tab w:val="num" w:pos="5040"/>
        </w:tabs>
        <w:ind w:left="5040" w:hanging="360"/>
      </w:pPr>
      <w:rPr>
        <w:rFonts w:ascii="Wingdings" w:hAnsi="Wingdings" w:hint="default"/>
      </w:rPr>
    </w:lvl>
    <w:lvl w:ilvl="7" w:tplc="4A96F326" w:tentative="1">
      <w:start w:val="1"/>
      <w:numFmt w:val="bullet"/>
      <w:lvlText w:val=""/>
      <w:lvlJc w:val="left"/>
      <w:pPr>
        <w:tabs>
          <w:tab w:val="num" w:pos="5760"/>
        </w:tabs>
        <w:ind w:left="5760" w:hanging="360"/>
      </w:pPr>
      <w:rPr>
        <w:rFonts w:ascii="Wingdings" w:hAnsi="Wingdings" w:hint="default"/>
      </w:rPr>
    </w:lvl>
    <w:lvl w:ilvl="8" w:tplc="90E07D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2201F"/>
    <w:multiLevelType w:val="hybridMultilevel"/>
    <w:tmpl w:val="D6E0CACA"/>
    <w:lvl w:ilvl="0" w:tplc="372877C2">
      <w:start w:val="1"/>
      <w:numFmt w:val="bullet"/>
      <w:lvlText w:val=""/>
      <w:lvlJc w:val="left"/>
      <w:pPr>
        <w:tabs>
          <w:tab w:val="num" w:pos="720"/>
        </w:tabs>
        <w:ind w:left="720" w:hanging="360"/>
      </w:pPr>
      <w:rPr>
        <w:rFonts w:ascii="Wingdings" w:hAnsi="Wingdings" w:hint="default"/>
      </w:rPr>
    </w:lvl>
    <w:lvl w:ilvl="1" w:tplc="AB2A1040" w:tentative="1">
      <w:start w:val="1"/>
      <w:numFmt w:val="bullet"/>
      <w:lvlText w:val=""/>
      <w:lvlJc w:val="left"/>
      <w:pPr>
        <w:tabs>
          <w:tab w:val="num" w:pos="1440"/>
        </w:tabs>
        <w:ind w:left="1440" w:hanging="360"/>
      </w:pPr>
      <w:rPr>
        <w:rFonts w:ascii="Wingdings" w:hAnsi="Wingdings" w:hint="default"/>
      </w:rPr>
    </w:lvl>
    <w:lvl w:ilvl="2" w:tplc="D5280AD2" w:tentative="1">
      <w:start w:val="1"/>
      <w:numFmt w:val="bullet"/>
      <w:lvlText w:val=""/>
      <w:lvlJc w:val="left"/>
      <w:pPr>
        <w:tabs>
          <w:tab w:val="num" w:pos="2160"/>
        </w:tabs>
        <w:ind w:left="2160" w:hanging="360"/>
      </w:pPr>
      <w:rPr>
        <w:rFonts w:ascii="Wingdings" w:hAnsi="Wingdings" w:hint="default"/>
      </w:rPr>
    </w:lvl>
    <w:lvl w:ilvl="3" w:tplc="5F20CFA4" w:tentative="1">
      <w:start w:val="1"/>
      <w:numFmt w:val="bullet"/>
      <w:lvlText w:val=""/>
      <w:lvlJc w:val="left"/>
      <w:pPr>
        <w:tabs>
          <w:tab w:val="num" w:pos="2880"/>
        </w:tabs>
        <w:ind w:left="2880" w:hanging="360"/>
      </w:pPr>
      <w:rPr>
        <w:rFonts w:ascii="Wingdings" w:hAnsi="Wingdings" w:hint="default"/>
      </w:rPr>
    </w:lvl>
    <w:lvl w:ilvl="4" w:tplc="6BF29F44" w:tentative="1">
      <w:start w:val="1"/>
      <w:numFmt w:val="bullet"/>
      <w:lvlText w:val=""/>
      <w:lvlJc w:val="left"/>
      <w:pPr>
        <w:tabs>
          <w:tab w:val="num" w:pos="3600"/>
        </w:tabs>
        <w:ind w:left="3600" w:hanging="360"/>
      </w:pPr>
      <w:rPr>
        <w:rFonts w:ascii="Wingdings" w:hAnsi="Wingdings" w:hint="default"/>
      </w:rPr>
    </w:lvl>
    <w:lvl w:ilvl="5" w:tplc="6F662096" w:tentative="1">
      <w:start w:val="1"/>
      <w:numFmt w:val="bullet"/>
      <w:lvlText w:val=""/>
      <w:lvlJc w:val="left"/>
      <w:pPr>
        <w:tabs>
          <w:tab w:val="num" w:pos="4320"/>
        </w:tabs>
        <w:ind w:left="4320" w:hanging="360"/>
      </w:pPr>
      <w:rPr>
        <w:rFonts w:ascii="Wingdings" w:hAnsi="Wingdings" w:hint="default"/>
      </w:rPr>
    </w:lvl>
    <w:lvl w:ilvl="6" w:tplc="981CCF38" w:tentative="1">
      <w:start w:val="1"/>
      <w:numFmt w:val="bullet"/>
      <w:lvlText w:val=""/>
      <w:lvlJc w:val="left"/>
      <w:pPr>
        <w:tabs>
          <w:tab w:val="num" w:pos="5040"/>
        </w:tabs>
        <w:ind w:left="5040" w:hanging="360"/>
      </w:pPr>
      <w:rPr>
        <w:rFonts w:ascii="Wingdings" w:hAnsi="Wingdings" w:hint="default"/>
      </w:rPr>
    </w:lvl>
    <w:lvl w:ilvl="7" w:tplc="57327FD8" w:tentative="1">
      <w:start w:val="1"/>
      <w:numFmt w:val="bullet"/>
      <w:lvlText w:val=""/>
      <w:lvlJc w:val="left"/>
      <w:pPr>
        <w:tabs>
          <w:tab w:val="num" w:pos="5760"/>
        </w:tabs>
        <w:ind w:left="5760" w:hanging="360"/>
      </w:pPr>
      <w:rPr>
        <w:rFonts w:ascii="Wingdings" w:hAnsi="Wingdings" w:hint="default"/>
      </w:rPr>
    </w:lvl>
    <w:lvl w:ilvl="8" w:tplc="DF80F5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537347"/>
    <w:multiLevelType w:val="hybridMultilevel"/>
    <w:tmpl w:val="961C1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32AEE"/>
    <w:multiLevelType w:val="hybridMultilevel"/>
    <w:tmpl w:val="57500C44"/>
    <w:lvl w:ilvl="0" w:tplc="0292DA14">
      <w:start w:val="1"/>
      <w:numFmt w:val="bullet"/>
      <w:lvlText w:val=""/>
      <w:lvlJc w:val="left"/>
      <w:pPr>
        <w:tabs>
          <w:tab w:val="num" w:pos="720"/>
        </w:tabs>
        <w:ind w:left="720" w:hanging="360"/>
      </w:pPr>
      <w:rPr>
        <w:rFonts w:ascii="Wingdings" w:hAnsi="Wingdings" w:hint="default"/>
      </w:rPr>
    </w:lvl>
    <w:lvl w:ilvl="1" w:tplc="F45C18B4" w:tentative="1">
      <w:start w:val="1"/>
      <w:numFmt w:val="bullet"/>
      <w:lvlText w:val=""/>
      <w:lvlJc w:val="left"/>
      <w:pPr>
        <w:tabs>
          <w:tab w:val="num" w:pos="1440"/>
        </w:tabs>
        <w:ind w:left="1440" w:hanging="360"/>
      </w:pPr>
      <w:rPr>
        <w:rFonts w:ascii="Wingdings" w:hAnsi="Wingdings" w:hint="default"/>
      </w:rPr>
    </w:lvl>
    <w:lvl w:ilvl="2" w:tplc="1FDC7BDE" w:tentative="1">
      <w:start w:val="1"/>
      <w:numFmt w:val="bullet"/>
      <w:lvlText w:val=""/>
      <w:lvlJc w:val="left"/>
      <w:pPr>
        <w:tabs>
          <w:tab w:val="num" w:pos="2160"/>
        </w:tabs>
        <w:ind w:left="2160" w:hanging="360"/>
      </w:pPr>
      <w:rPr>
        <w:rFonts w:ascii="Wingdings" w:hAnsi="Wingdings" w:hint="default"/>
      </w:rPr>
    </w:lvl>
    <w:lvl w:ilvl="3" w:tplc="6818C8FA" w:tentative="1">
      <w:start w:val="1"/>
      <w:numFmt w:val="bullet"/>
      <w:lvlText w:val=""/>
      <w:lvlJc w:val="left"/>
      <w:pPr>
        <w:tabs>
          <w:tab w:val="num" w:pos="2880"/>
        </w:tabs>
        <w:ind w:left="2880" w:hanging="360"/>
      </w:pPr>
      <w:rPr>
        <w:rFonts w:ascii="Wingdings" w:hAnsi="Wingdings" w:hint="default"/>
      </w:rPr>
    </w:lvl>
    <w:lvl w:ilvl="4" w:tplc="B8065D44" w:tentative="1">
      <w:start w:val="1"/>
      <w:numFmt w:val="bullet"/>
      <w:lvlText w:val=""/>
      <w:lvlJc w:val="left"/>
      <w:pPr>
        <w:tabs>
          <w:tab w:val="num" w:pos="3600"/>
        </w:tabs>
        <w:ind w:left="3600" w:hanging="360"/>
      </w:pPr>
      <w:rPr>
        <w:rFonts w:ascii="Wingdings" w:hAnsi="Wingdings" w:hint="default"/>
      </w:rPr>
    </w:lvl>
    <w:lvl w:ilvl="5" w:tplc="7C900360" w:tentative="1">
      <w:start w:val="1"/>
      <w:numFmt w:val="bullet"/>
      <w:lvlText w:val=""/>
      <w:lvlJc w:val="left"/>
      <w:pPr>
        <w:tabs>
          <w:tab w:val="num" w:pos="4320"/>
        </w:tabs>
        <w:ind w:left="4320" w:hanging="360"/>
      </w:pPr>
      <w:rPr>
        <w:rFonts w:ascii="Wingdings" w:hAnsi="Wingdings" w:hint="default"/>
      </w:rPr>
    </w:lvl>
    <w:lvl w:ilvl="6" w:tplc="D24C3912" w:tentative="1">
      <w:start w:val="1"/>
      <w:numFmt w:val="bullet"/>
      <w:lvlText w:val=""/>
      <w:lvlJc w:val="left"/>
      <w:pPr>
        <w:tabs>
          <w:tab w:val="num" w:pos="5040"/>
        </w:tabs>
        <w:ind w:left="5040" w:hanging="360"/>
      </w:pPr>
      <w:rPr>
        <w:rFonts w:ascii="Wingdings" w:hAnsi="Wingdings" w:hint="default"/>
      </w:rPr>
    </w:lvl>
    <w:lvl w:ilvl="7" w:tplc="E2509E54" w:tentative="1">
      <w:start w:val="1"/>
      <w:numFmt w:val="bullet"/>
      <w:lvlText w:val=""/>
      <w:lvlJc w:val="left"/>
      <w:pPr>
        <w:tabs>
          <w:tab w:val="num" w:pos="5760"/>
        </w:tabs>
        <w:ind w:left="5760" w:hanging="360"/>
      </w:pPr>
      <w:rPr>
        <w:rFonts w:ascii="Wingdings" w:hAnsi="Wingdings" w:hint="default"/>
      </w:rPr>
    </w:lvl>
    <w:lvl w:ilvl="8" w:tplc="8BD872B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D17152"/>
    <w:multiLevelType w:val="hybridMultilevel"/>
    <w:tmpl w:val="593CB906"/>
    <w:lvl w:ilvl="0" w:tplc="893410B0">
      <w:start w:val="1"/>
      <w:numFmt w:val="bullet"/>
      <w:lvlText w:val=""/>
      <w:lvlJc w:val="left"/>
      <w:pPr>
        <w:tabs>
          <w:tab w:val="num" w:pos="720"/>
        </w:tabs>
        <w:ind w:left="720" w:hanging="360"/>
      </w:pPr>
      <w:rPr>
        <w:rFonts w:ascii="Wingdings" w:hAnsi="Wingdings" w:hint="default"/>
      </w:rPr>
    </w:lvl>
    <w:lvl w:ilvl="1" w:tplc="969A03D2" w:tentative="1">
      <w:start w:val="1"/>
      <w:numFmt w:val="bullet"/>
      <w:lvlText w:val=""/>
      <w:lvlJc w:val="left"/>
      <w:pPr>
        <w:tabs>
          <w:tab w:val="num" w:pos="1440"/>
        </w:tabs>
        <w:ind w:left="1440" w:hanging="360"/>
      </w:pPr>
      <w:rPr>
        <w:rFonts w:ascii="Wingdings" w:hAnsi="Wingdings" w:hint="default"/>
      </w:rPr>
    </w:lvl>
    <w:lvl w:ilvl="2" w:tplc="F3E652BE" w:tentative="1">
      <w:start w:val="1"/>
      <w:numFmt w:val="bullet"/>
      <w:lvlText w:val=""/>
      <w:lvlJc w:val="left"/>
      <w:pPr>
        <w:tabs>
          <w:tab w:val="num" w:pos="2160"/>
        </w:tabs>
        <w:ind w:left="2160" w:hanging="360"/>
      </w:pPr>
      <w:rPr>
        <w:rFonts w:ascii="Wingdings" w:hAnsi="Wingdings" w:hint="default"/>
      </w:rPr>
    </w:lvl>
    <w:lvl w:ilvl="3" w:tplc="A11C1680" w:tentative="1">
      <w:start w:val="1"/>
      <w:numFmt w:val="bullet"/>
      <w:lvlText w:val=""/>
      <w:lvlJc w:val="left"/>
      <w:pPr>
        <w:tabs>
          <w:tab w:val="num" w:pos="2880"/>
        </w:tabs>
        <w:ind w:left="2880" w:hanging="360"/>
      </w:pPr>
      <w:rPr>
        <w:rFonts w:ascii="Wingdings" w:hAnsi="Wingdings" w:hint="default"/>
      </w:rPr>
    </w:lvl>
    <w:lvl w:ilvl="4" w:tplc="6B260434" w:tentative="1">
      <w:start w:val="1"/>
      <w:numFmt w:val="bullet"/>
      <w:lvlText w:val=""/>
      <w:lvlJc w:val="left"/>
      <w:pPr>
        <w:tabs>
          <w:tab w:val="num" w:pos="3600"/>
        </w:tabs>
        <w:ind w:left="3600" w:hanging="360"/>
      </w:pPr>
      <w:rPr>
        <w:rFonts w:ascii="Wingdings" w:hAnsi="Wingdings" w:hint="default"/>
      </w:rPr>
    </w:lvl>
    <w:lvl w:ilvl="5" w:tplc="C1520558" w:tentative="1">
      <w:start w:val="1"/>
      <w:numFmt w:val="bullet"/>
      <w:lvlText w:val=""/>
      <w:lvlJc w:val="left"/>
      <w:pPr>
        <w:tabs>
          <w:tab w:val="num" w:pos="4320"/>
        </w:tabs>
        <w:ind w:left="4320" w:hanging="360"/>
      </w:pPr>
      <w:rPr>
        <w:rFonts w:ascii="Wingdings" w:hAnsi="Wingdings" w:hint="default"/>
      </w:rPr>
    </w:lvl>
    <w:lvl w:ilvl="6" w:tplc="3A0E83F4" w:tentative="1">
      <w:start w:val="1"/>
      <w:numFmt w:val="bullet"/>
      <w:lvlText w:val=""/>
      <w:lvlJc w:val="left"/>
      <w:pPr>
        <w:tabs>
          <w:tab w:val="num" w:pos="5040"/>
        </w:tabs>
        <w:ind w:left="5040" w:hanging="360"/>
      </w:pPr>
      <w:rPr>
        <w:rFonts w:ascii="Wingdings" w:hAnsi="Wingdings" w:hint="default"/>
      </w:rPr>
    </w:lvl>
    <w:lvl w:ilvl="7" w:tplc="8DBAAA46" w:tentative="1">
      <w:start w:val="1"/>
      <w:numFmt w:val="bullet"/>
      <w:lvlText w:val=""/>
      <w:lvlJc w:val="left"/>
      <w:pPr>
        <w:tabs>
          <w:tab w:val="num" w:pos="5760"/>
        </w:tabs>
        <w:ind w:left="5760" w:hanging="360"/>
      </w:pPr>
      <w:rPr>
        <w:rFonts w:ascii="Wingdings" w:hAnsi="Wingdings" w:hint="default"/>
      </w:rPr>
    </w:lvl>
    <w:lvl w:ilvl="8" w:tplc="C164D4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2E5AC8"/>
    <w:multiLevelType w:val="hybridMultilevel"/>
    <w:tmpl w:val="CF7A0A72"/>
    <w:lvl w:ilvl="0" w:tplc="26362E94">
      <w:start w:val="1"/>
      <w:numFmt w:val="bullet"/>
      <w:lvlText w:val=""/>
      <w:lvlJc w:val="left"/>
      <w:pPr>
        <w:tabs>
          <w:tab w:val="num" w:pos="720"/>
        </w:tabs>
        <w:ind w:left="720" w:hanging="360"/>
      </w:pPr>
      <w:rPr>
        <w:rFonts w:ascii="Wingdings" w:hAnsi="Wingdings" w:hint="default"/>
      </w:rPr>
    </w:lvl>
    <w:lvl w:ilvl="1" w:tplc="37D43082" w:tentative="1">
      <w:start w:val="1"/>
      <w:numFmt w:val="bullet"/>
      <w:lvlText w:val=""/>
      <w:lvlJc w:val="left"/>
      <w:pPr>
        <w:tabs>
          <w:tab w:val="num" w:pos="1440"/>
        </w:tabs>
        <w:ind w:left="1440" w:hanging="360"/>
      </w:pPr>
      <w:rPr>
        <w:rFonts w:ascii="Wingdings" w:hAnsi="Wingdings" w:hint="default"/>
      </w:rPr>
    </w:lvl>
    <w:lvl w:ilvl="2" w:tplc="4FEA2834" w:tentative="1">
      <w:start w:val="1"/>
      <w:numFmt w:val="bullet"/>
      <w:lvlText w:val=""/>
      <w:lvlJc w:val="left"/>
      <w:pPr>
        <w:tabs>
          <w:tab w:val="num" w:pos="2160"/>
        </w:tabs>
        <w:ind w:left="2160" w:hanging="360"/>
      </w:pPr>
      <w:rPr>
        <w:rFonts w:ascii="Wingdings" w:hAnsi="Wingdings" w:hint="default"/>
      </w:rPr>
    </w:lvl>
    <w:lvl w:ilvl="3" w:tplc="BFE8A0E6" w:tentative="1">
      <w:start w:val="1"/>
      <w:numFmt w:val="bullet"/>
      <w:lvlText w:val=""/>
      <w:lvlJc w:val="left"/>
      <w:pPr>
        <w:tabs>
          <w:tab w:val="num" w:pos="2880"/>
        </w:tabs>
        <w:ind w:left="2880" w:hanging="360"/>
      </w:pPr>
      <w:rPr>
        <w:rFonts w:ascii="Wingdings" w:hAnsi="Wingdings" w:hint="default"/>
      </w:rPr>
    </w:lvl>
    <w:lvl w:ilvl="4" w:tplc="1FF8BCDC" w:tentative="1">
      <w:start w:val="1"/>
      <w:numFmt w:val="bullet"/>
      <w:lvlText w:val=""/>
      <w:lvlJc w:val="left"/>
      <w:pPr>
        <w:tabs>
          <w:tab w:val="num" w:pos="3600"/>
        </w:tabs>
        <w:ind w:left="3600" w:hanging="360"/>
      </w:pPr>
      <w:rPr>
        <w:rFonts w:ascii="Wingdings" w:hAnsi="Wingdings" w:hint="default"/>
      </w:rPr>
    </w:lvl>
    <w:lvl w:ilvl="5" w:tplc="FC584B2E" w:tentative="1">
      <w:start w:val="1"/>
      <w:numFmt w:val="bullet"/>
      <w:lvlText w:val=""/>
      <w:lvlJc w:val="left"/>
      <w:pPr>
        <w:tabs>
          <w:tab w:val="num" w:pos="4320"/>
        </w:tabs>
        <w:ind w:left="4320" w:hanging="360"/>
      </w:pPr>
      <w:rPr>
        <w:rFonts w:ascii="Wingdings" w:hAnsi="Wingdings" w:hint="default"/>
      </w:rPr>
    </w:lvl>
    <w:lvl w:ilvl="6" w:tplc="95AE9F2C" w:tentative="1">
      <w:start w:val="1"/>
      <w:numFmt w:val="bullet"/>
      <w:lvlText w:val=""/>
      <w:lvlJc w:val="left"/>
      <w:pPr>
        <w:tabs>
          <w:tab w:val="num" w:pos="5040"/>
        </w:tabs>
        <w:ind w:left="5040" w:hanging="360"/>
      </w:pPr>
      <w:rPr>
        <w:rFonts w:ascii="Wingdings" w:hAnsi="Wingdings" w:hint="default"/>
      </w:rPr>
    </w:lvl>
    <w:lvl w:ilvl="7" w:tplc="E7204A2A" w:tentative="1">
      <w:start w:val="1"/>
      <w:numFmt w:val="bullet"/>
      <w:lvlText w:val=""/>
      <w:lvlJc w:val="left"/>
      <w:pPr>
        <w:tabs>
          <w:tab w:val="num" w:pos="5760"/>
        </w:tabs>
        <w:ind w:left="5760" w:hanging="360"/>
      </w:pPr>
      <w:rPr>
        <w:rFonts w:ascii="Wingdings" w:hAnsi="Wingdings" w:hint="default"/>
      </w:rPr>
    </w:lvl>
    <w:lvl w:ilvl="8" w:tplc="A670C5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7B2773"/>
    <w:multiLevelType w:val="hybridMultilevel"/>
    <w:tmpl w:val="5BA64966"/>
    <w:lvl w:ilvl="0" w:tplc="3764878E">
      <w:start w:val="1"/>
      <w:numFmt w:val="bullet"/>
      <w:lvlText w:val=""/>
      <w:lvlJc w:val="left"/>
      <w:pPr>
        <w:tabs>
          <w:tab w:val="num" w:pos="720"/>
        </w:tabs>
        <w:ind w:left="720" w:hanging="360"/>
      </w:pPr>
      <w:rPr>
        <w:rFonts w:ascii="Wingdings" w:hAnsi="Wingdings" w:hint="default"/>
      </w:rPr>
    </w:lvl>
    <w:lvl w:ilvl="1" w:tplc="D6062090" w:tentative="1">
      <w:start w:val="1"/>
      <w:numFmt w:val="bullet"/>
      <w:lvlText w:val=""/>
      <w:lvlJc w:val="left"/>
      <w:pPr>
        <w:tabs>
          <w:tab w:val="num" w:pos="1440"/>
        </w:tabs>
        <w:ind w:left="1440" w:hanging="360"/>
      </w:pPr>
      <w:rPr>
        <w:rFonts w:ascii="Wingdings" w:hAnsi="Wingdings" w:hint="default"/>
      </w:rPr>
    </w:lvl>
    <w:lvl w:ilvl="2" w:tplc="9C980D72" w:tentative="1">
      <w:start w:val="1"/>
      <w:numFmt w:val="bullet"/>
      <w:lvlText w:val=""/>
      <w:lvlJc w:val="left"/>
      <w:pPr>
        <w:tabs>
          <w:tab w:val="num" w:pos="2160"/>
        </w:tabs>
        <w:ind w:left="2160" w:hanging="360"/>
      </w:pPr>
      <w:rPr>
        <w:rFonts w:ascii="Wingdings" w:hAnsi="Wingdings" w:hint="default"/>
      </w:rPr>
    </w:lvl>
    <w:lvl w:ilvl="3" w:tplc="1AF6A262" w:tentative="1">
      <w:start w:val="1"/>
      <w:numFmt w:val="bullet"/>
      <w:lvlText w:val=""/>
      <w:lvlJc w:val="left"/>
      <w:pPr>
        <w:tabs>
          <w:tab w:val="num" w:pos="2880"/>
        </w:tabs>
        <w:ind w:left="2880" w:hanging="360"/>
      </w:pPr>
      <w:rPr>
        <w:rFonts w:ascii="Wingdings" w:hAnsi="Wingdings" w:hint="default"/>
      </w:rPr>
    </w:lvl>
    <w:lvl w:ilvl="4" w:tplc="06E266DE" w:tentative="1">
      <w:start w:val="1"/>
      <w:numFmt w:val="bullet"/>
      <w:lvlText w:val=""/>
      <w:lvlJc w:val="left"/>
      <w:pPr>
        <w:tabs>
          <w:tab w:val="num" w:pos="3600"/>
        </w:tabs>
        <w:ind w:left="3600" w:hanging="360"/>
      </w:pPr>
      <w:rPr>
        <w:rFonts w:ascii="Wingdings" w:hAnsi="Wingdings" w:hint="default"/>
      </w:rPr>
    </w:lvl>
    <w:lvl w:ilvl="5" w:tplc="C1E04C8E" w:tentative="1">
      <w:start w:val="1"/>
      <w:numFmt w:val="bullet"/>
      <w:lvlText w:val=""/>
      <w:lvlJc w:val="left"/>
      <w:pPr>
        <w:tabs>
          <w:tab w:val="num" w:pos="4320"/>
        </w:tabs>
        <w:ind w:left="4320" w:hanging="360"/>
      </w:pPr>
      <w:rPr>
        <w:rFonts w:ascii="Wingdings" w:hAnsi="Wingdings" w:hint="default"/>
      </w:rPr>
    </w:lvl>
    <w:lvl w:ilvl="6" w:tplc="69C2B886" w:tentative="1">
      <w:start w:val="1"/>
      <w:numFmt w:val="bullet"/>
      <w:lvlText w:val=""/>
      <w:lvlJc w:val="left"/>
      <w:pPr>
        <w:tabs>
          <w:tab w:val="num" w:pos="5040"/>
        </w:tabs>
        <w:ind w:left="5040" w:hanging="360"/>
      </w:pPr>
      <w:rPr>
        <w:rFonts w:ascii="Wingdings" w:hAnsi="Wingdings" w:hint="default"/>
      </w:rPr>
    </w:lvl>
    <w:lvl w:ilvl="7" w:tplc="7EE8F57E" w:tentative="1">
      <w:start w:val="1"/>
      <w:numFmt w:val="bullet"/>
      <w:lvlText w:val=""/>
      <w:lvlJc w:val="left"/>
      <w:pPr>
        <w:tabs>
          <w:tab w:val="num" w:pos="5760"/>
        </w:tabs>
        <w:ind w:left="5760" w:hanging="360"/>
      </w:pPr>
      <w:rPr>
        <w:rFonts w:ascii="Wingdings" w:hAnsi="Wingdings" w:hint="default"/>
      </w:rPr>
    </w:lvl>
    <w:lvl w:ilvl="8" w:tplc="77567E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3D2C1A"/>
    <w:multiLevelType w:val="hybridMultilevel"/>
    <w:tmpl w:val="184A20F4"/>
    <w:lvl w:ilvl="0" w:tplc="985455DE">
      <w:start w:val="1"/>
      <w:numFmt w:val="bullet"/>
      <w:lvlText w:val=""/>
      <w:lvlJc w:val="left"/>
      <w:pPr>
        <w:tabs>
          <w:tab w:val="num" w:pos="720"/>
        </w:tabs>
        <w:ind w:left="720" w:hanging="360"/>
      </w:pPr>
      <w:rPr>
        <w:rFonts w:ascii="Wingdings" w:hAnsi="Wingdings" w:hint="default"/>
      </w:rPr>
    </w:lvl>
    <w:lvl w:ilvl="1" w:tplc="8D0EFD5A" w:tentative="1">
      <w:start w:val="1"/>
      <w:numFmt w:val="bullet"/>
      <w:lvlText w:val=""/>
      <w:lvlJc w:val="left"/>
      <w:pPr>
        <w:tabs>
          <w:tab w:val="num" w:pos="1440"/>
        </w:tabs>
        <w:ind w:left="1440" w:hanging="360"/>
      </w:pPr>
      <w:rPr>
        <w:rFonts w:ascii="Wingdings" w:hAnsi="Wingdings" w:hint="default"/>
      </w:rPr>
    </w:lvl>
    <w:lvl w:ilvl="2" w:tplc="1FCC5934" w:tentative="1">
      <w:start w:val="1"/>
      <w:numFmt w:val="bullet"/>
      <w:lvlText w:val=""/>
      <w:lvlJc w:val="left"/>
      <w:pPr>
        <w:tabs>
          <w:tab w:val="num" w:pos="2160"/>
        </w:tabs>
        <w:ind w:left="2160" w:hanging="360"/>
      </w:pPr>
      <w:rPr>
        <w:rFonts w:ascii="Wingdings" w:hAnsi="Wingdings" w:hint="default"/>
      </w:rPr>
    </w:lvl>
    <w:lvl w:ilvl="3" w:tplc="8B1045B4" w:tentative="1">
      <w:start w:val="1"/>
      <w:numFmt w:val="bullet"/>
      <w:lvlText w:val=""/>
      <w:lvlJc w:val="left"/>
      <w:pPr>
        <w:tabs>
          <w:tab w:val="num" w:pos="2880"/>
        </w:tabs>
        <w:ind w:left="2880" w:hanging="360"/>
      </w:pPr>
      <w:rPr>
        <w:rFonts w:ascii="Wingdings" w:hAnsi="Wingdings" w:hint="default"/>
      </w:rPr>
    </w:lvl>
    <w:lvl w:ilvl="4" w:tplc="5A80769A" w:tentative="1">
      <w:start w:val="1"/>
      <w:numFmt w:val="bullet"/>
      <w:lvlText w:val=""/>
      <w:lvlJc w:val="left"/>
      <w:pPr>
        <w:tabs>
          <w:tab w:val="num" w:pos="3600"/>
        </w:tabs>
        <w:ind w:left="3600" w:hanging="360"/>
      </w:pPr>
      <w:rPr>
        <w:rFonts w:ascii="Wingdings" w:hAnsi="Wingdings" w:hint="default"/>
      </w:rPr>
    </w:lvl>
    <w:lvl w:ilvl="5" w:tplc="60CE1F90" w:tentative="1">
      <w:start w:val="1"/>
      <w:numFmt w:val="bullet"/>
      <w:lvlText w:val=""/>
      <w:lvlJc w:val="left"/>
      <w:pPr>
        <w:tabs>
          <w:tab w:val="num" w:pos="4320"/>
        </w:tabs>
        <w:ind w:left="4320" w:hanging="360"/>
      </w:pPr>
      <w:rPr>
        <w:rFonts w:ascii="Wingdings" w:hAnsi="Wingdings" w:hint="default"/>
      </w:rPr>
    </w:lvl>
    <w:lvl w:ilvl="6" w:tplc="1AB01DD0" w:tentative="1">
      <w:start w:val="1"/>
      <w:numFmt w:val="bullet"/>
      <w:lvlText w:val=""/>
      <w:lvlJc w:val="left"/>
      <w:pPr>
        <w:tabs>
          <w:tab w:val="num" w:pos="5040"/>
        </w:tabs>
        <w:ind w:left="5040" w:hanging="360"/>
      </w:pPr>
      <w:rPr>
        <w:rFonts w:ascii="Wingdings" w:hAnsi="Wingdings" w:hint="default"/>
      </w:rPr>
    </w:lvl>
    <w:lvl w:ilvl="7" w:tplc="004CC228" w:tentative="1">
      <w:start w:val="1"/>
      <w:numFmt w:val="bullet"/>
      <w:lvlText w:val=""/>
      <w:lvlJc w:val="left"/>
      <w:pPr>
        <w:tabs>
          <w:tab w:val="num" w:pos="5760"/>
        </w:tabs>
        <w:ind w:left="5760" w:hanging="360"/>
      </w:pPr>
      <w:rPr>
        <w:rFonts w:ascii="Wingdings" w:hAnsi="Wingdings" w:hint="default"/>
      </w:rPr>
    </w:lvl>
    <w:lvl w:ilvl="8" w:tplc="EBC454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9059BC"/>
    <w:multiLevelType w:val="hybridMultilevel"/>
    <w:tmpl w:val="A036A58E"/>
    <w:lvl w:ilvl="0" w:tplc="139C9E2C">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704602735">
    <w:abstractNumId w:val="9"/>
  </w:num>
  <w:num w:numId="2" w16cid:durableId="1186477684">
    <w:abstractNumId w:val="3"/>
  </w:num>
  <w:num w:numId="3" w16cid:durableId="806165879">
    <w:abstractNumId w:val="4"/>
  </w:num>
  <w:num w:numId="4" w16cid:durableId="455220690">
    <w:abstractNumId w:val="6"/>
  </w:num>
  <w:num w:numId="5" w16cid:durableId="867983312">
    <w:abstractNumId w:val="2"/>
  </w:num>
  <w:num w:numId="6" w16cid:durableId="1836534394">
    <w:abstractNumId w:val="0"/>
  </w:num>
  <w:num w:numId="7" w16cid:durableId="1964798910">
    <w:abstractNumId w:val="5"/>
  </w:num>
  <w:num w:numId="8" w16cid:durableId="814565132">
    <w:abstractNumId w:val="7"/>
  </w:num>
  <w:num w:numId="9" w16cid:durableId="1305089095">
    <w:abstractNumId w:val="8"/>
  </w:num>
  <w:num w:numId="10" w16cid:durableId="50733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B7"/>
    <w:rsid w:val="0021357A"/>
    <w:rsid w:val="00705C70"/>
    <w:rsid w:val="00795FB7"/>
    <w:rsid w:val="00B33653"/>
    <w:rsid w:val="00F1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BAF6"/>
  <w15:chartTrackingRefBased/>
  <w15:docId w15:val="{4EAEB23E-E9FA-4F12-96DA-C9FCAFA2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29">
      <w:bodyDiv w:val="1"/>
      <w:marLeft w:val="0"/>
      <w:marRight w:val="0"/>
      <w:marTop w:val="0"/>
      <w:marBottom w:val="0"/>
      <w:divBdr>
        <w:top w:val="none" w:sz="0" w:space="0" w:color="auto"/>
        <w:left w:val="none" w:sz="0" w:space="0" w:color="auto"/>
        <w:bottom w:val="none" w:sz="0" w:space="0" w:color="auto"/>
        <w:right w:val="none" w:sz="0" w:space="0" w:color="auto"/>
      </w:divBdr>
    </w:div>
    <w:div w:id="114981895">
      <w:bodyDiv w:val="1"/>
      <w:marLeft w:val="0"/>
      <w:marRight w:val="0"/>
      <w:marTop w:val="0"/>
      <w:marBottom w:val="0"/>
      <w:divBdr>
        <w:top w:val="none" w:sz="0" w:space="0" w:color="auto"/>
        <w:left w:val="none" w:sz="0" w:space="0" w:color="auto"/>
        <w:bottom w:val="none" w:sz="0" w:space="0" w:color="auto"/>
        <w:right w:val="none" w:sz="0" w:space="0" w:color="auto"/>
      </w:divBdr>
    </w:div>
    <w:div w:id="335960902">
      <w:bodyDiv w:val="1"/>
      <w:marLeft w:val="0"/>
      <w:marRight w:val="0"/>
      <w:marTop w:val="0"/>
      <w:marBottom w:val="0"/>
      <w:divBdr>
        <w:top w:val="none" w:sz="0" w:space="0" w:color="auto"/>
        <w:left w:val="none" w:sz="0" w:space="0" w:color="auto"/>
        <w:bottom w:val="none" w:sz="0" w:space="0" w:color="auto"/>
        <w:right w:val="none" w:sz="0" w:space="0" w:color="auto"/>
      </w:divBdr>
    </w:div>
    <w:div w:id="412508932">
      <w:bodyDiv w:val="1"/>
      <w:marLeft w:val="0"/>
      <w:marRight w:val="0"/>
      <w:marTop w:val="0"/>
      <w:marBottom w:val="0"/>
      <w:divBdr>
        <w:top w:val="none" w:sz="0" w:space="0" w:color="auto"/>
        <w:left w:val="none" w:sz="0" w:space="0" w:color="auto"/>
        <w:bottom w:val="none" w:sz="0" w:space="0" w:color="auto"/>
        <w:right w:val="none" w:sz="0" w:space="0" w:color="auto"/>
      </w:divBdr>
    </w:div>
    <w:div w:id="463472546">
      <w:bodyDiv w:val="1"/>
      <w:marLeft w:val="0"/>
      <w:marRight w:val="0"/>
      <w:marTop w:val="0"/>
      <w:marBottom w:val="0"/>
      <w:divBdr>
        <w:top w:val="none" w:sz="0" w:space="0" w:color="auto"/>
        <w:left w:val="none" w:sz="0" w:space="0" w:color="auto"/>
        <w:bottom w:val="none" w:sz="0" w:space="0" w:color="auto"/>
        <w:right w:val="none" w:sz="0" w:space="0" w:color="auto"/>
      </w:divBdr>
    </w:div>
    <w:div w:id="477265680">
      <w:bodyDiv w:val="1"/>
      <w:marLeft w:val="0"/>
      <w:marRight w:val="0"/>
      <w:marTop w:val="0"/>
      <w:marBottom w:val="0"/>
      <w:divBdr>
        <w:top w:val="none" w:sz="0" w:space="0" w:color="auto"/>
        <w:left w:val="none" w:sz="0" w:space="0" w:color="auto"/>
        <w:bottom w:val="none" w:sz="0" w:space="0" w:color="auto"/>
        <w:right w:val="none" w:sz="0" w:space="0" w:color="auto"/>
      </w:divBdr>
    </w:div>
    <w:div w:id="534274312">
      <w:bodyDiv w:val="1"/>
      <w:marLeft w:val="0"/>
      <w:marRight w:val="0"/>
      <w:marTop w:val="0"/>
      <w:marBottom w:val="0"/>
      <w:divBdr>
        <w:top w:val="none" w:sz="0" w:space="0" w:color="auto"/>
        <w:left w:val="none" w:sz="0" w:space="0" w:color="auto"/>
        <w:bottom w:val="none" w:sz="0" w:space="0" w:color="auto"/>
        <w:right w:val="none" w:sz="0" w:space="0" w:color="auto"/>
      </w:divBdr>
    </w:div>
    <w:div w:id="672874531">
      <w:bodyDiv w:val="1"/>
      <w:marLeft w:val="0"/>
      <w:marRight w:val="0"/>
      <w:marTop w:val="0"/>
      <w:marBottom w:val="0"/>
      <w:divBdr>
        <w:top w:val="none" w:sz="0" w:space="0" w:color="auto"/>
        <w:left w:val="none" w:sz="0" w:space="0" w:color="auto"/>
        <w:bottom w:val="none" w:sz="0" w:space="0" w:color="auto"/>
        <w:right w:val="none" w:sz="0" w:space="0" w:color="auto"/>
      </w:divBdr>
      <w:divsChild>
        <w:div w:id="320275933">
          <w:marLeft w:val="274"/>
          <w:marRight w:val="0"/>
          <w:marTop w:val="0"/>
          <w:marBottom w:val="0"/>
          <w:divBdr>
            <w:top w:val="none" w:sz="0" w:space="0" w:color="auto"/>
            <w:left w:val="none" w:sz="0" w:space="0" w:color="auto"/>
            <w:bottom w:val="none" w:sz="0" w:space="0" w:color="auto"/>
            <w:right w:val="none" w:sz="0" w:space="0" w:color="auto"/>
          </w:divBdr>
        </w:div>
        <w:div w:id="1648900939">
          <w:marLeft w:val="274"/>
          <w:marRight w:val="0"/>
          <w:marTop w:val="0"/>
          <w:marBottom w:val="0"/>
          <w:divBdr>
            <w:top w:val="none" w:sz="0" w:space="0" w:color="auto"/>
            <w:left w:val="none" w:sz="0" w:space="0" w:color="auto"/>
            <w:bottom w:val="none" w:sz="0" w:space="0" w:color="auto"/>
            <w:right w:val="none" w:sz="0" w:space="0" w:color="auto"/>
          </w:divBdr>
        </w:div>
        <w:div w:id="2055737191">
          <w:marLeft w:val="274"/>
          <w:marRight w:val="0"/>
          <w:marTop w:val="0"/>
          <w:marBottom w:val="0"/>
          <w:divBdr>
            <w:top w:val="none" w:sz="0" w:space="0" w:color="auto"/>
            <w:left w:val="none" w:sz="0" w:space="0" w:color="auto"/>
            <w:bottom w:val="none" w:sz="0" w:space="0" w:color="auto"/>
            <w:right w:val="none" w:sz="0" w:space="0" w:color="auto"/>
          </w:divBdr>
        </w:div>
        <w:div w:id="223444391">
          <w:marLeft w:val="274"/>
          <w:marRight w:val="0"/>
          <w:marTop w:val="0"/>
          <w:marBottom w:val="0"/>
          <w:divBdr>
            <w:top w:val="none" w:sz="0" w:space="0" w:color="auto"/>
            <w:left w:val="none" w:sz="0" w:space="0" w:color="auto"/>
            <w:bottom w:val="none" w:sz="0" w:space="0" w:color="auto"/>
            <w:right w:val="none" w:sz="0" w:space="0" w:color="auto"/>
          </w:divBdr>
        </w:div>
        <w:div w:id="645011938">
          <w:marLeft w:val="274"/>
          <w:marRight w:val="0"/>
          <w:marTop w:val="0"/>
          <w:marBottom w:val="0"/>
          <w:divBdr>
            <w:top w:val="none" w:sz="0" w:space="0" w:color="auto"/>
            <w:left w:val="none" w:sz="0" w:space="0" w:color="auto"/>
            <w:bottom w:val="none" w:sz="0" w:space="0" w:color="auto"/>
            <w:right w:val="none" w:sz="0" w:space="0" w:color="auto"/>
          </w:divBdr>
        </w:div>
        <w:div w:id="1524202883">
          <w:marLeft w:val="274"/>
          <w:marRight w:val="0"/>
          <w:marTop w:val="0"/>
          <w:marBottom w:val="0"/>
          <w:divBdr>
            <w:top w:val="none" w:sz="0" w:space="0" w:color="auto"/>
            <w:left w:val="none" w:sz="0" w:space="0" w:color="auto"/>
            <w:bottom w:val="none" w:sz="0" w:space="0" w:color="auto"/>
            <w:right w:val="none" w:sz="0" w:space="0" w:color="auto"/>
          </w:divBdr>
        </w:div>
        <w:div w:id="744764250">
          <w:marLeft w:val="274"/>
          <w:marRight w:val="0"/>
          <w:marTop w:val="0"/>
          <w:marBottom w:val="0"/>
          <w:divBdr>
            <w:top w:val="none" w:sz="0" w:space="0" w:color="auto"/>
            <w:left w:val="none" w:sz="0" w:space="0" w:color="auto"/>
            <w:bottom w:val="none" w:sz="0" w:space="0" w:color="auto"/>
            <w:right w:val="none" w:sz="0" w:space="0" w:color="auto"/>
          </w:divBdr>
        </w:div>
        <w:div w:id="2002275579">
          <w:marLeft w:val="274"/>
          <w:marRight w:val="0"/>
          <w:marTop w:val="0"/>
          <w:marBottom w:val="0"/>
          <w:divBdr>
            <w:top w:val="none" w:sz="0" w:space="0" w:color="auto"/>
            <w:left w:val="none" w:sz="0" w:space="0" w:color="auto"/>
            <w:bottom w:val="none" w:sz="0" w:space="0" w:color="auto"/>
            <w:right w:val="none" w:sz="0" w:space="0" w:color="auto"/>
          </w:divBdr>
        </w:div>
        <w:div w:id="1129662060">
          <w:marLeft w:val="274"/>
          <w:marRight w:val="0"/>
          <w:marTop w:val="0"/>
          <w:marBottom w:val="0"/>
          <w:divBdr>
            <w:top w:val="none" w:sz="0" w:space="0" w:color="auto"/>
            <w:left w:val="none" w:sz="0" w:space="0" w:color="auto"/>
            <w:bottom w:val="none" w:sz="0" w:space="0" w:color="auto"/>
            <w:right w:val="none" w:sz="0" w:space="0" w:color="auto"/>
          </w:divBdr>
        </w:div>
        <w:div w:id="412092745">
          <w:marLeft w:val="274"/>
          <w:marRight w:val="0"/>
          <w:marTop w:val="0"/>
          <w:marBottom w:val="0"/>
          <w:divBdr>
            <w:top w:val="none" w:sz="0" w:space="0" w:color="auto"/>
            <w:left w:val="none" w:sz="0" w:space="0" w:color="auto"/>
            <w:bottom w:val="none" w:sz="0" w:space="0" w:color="auto"/>
            <w:right w:val="none" w:sz="0" w:space="0" w:color="auto"/>
          </w:divBdr>
        </w:div>
        <w:div w:id="887298725">
          <w:marLeft w:val="274"/>
          <w:marRight w:val="0"/>
          <w:marTop w:val="0"/>
          <w:marBottom w:val="0"/>
          <w:divBdr>
            <w:top w:val="none" w:sz="0" w:space="0" w:color="auto"/>
            <w:left w:val="none" w:sz="0" w:space="0" w:color="auto"/>
            <w:bottom w:val="none" w:sz="0" w:space="0" w:color="auto"/>
            <w:right w:val="none" w:sz="0" w:space="0" w:color="auto"/>
          </w:divBdr>
        </w:div>
        <w:div w:id="844856742">
          <w:marLeft w:val="274"/>
          <w:marRight w:val="0"/>
          <w:marTop w:val="0"/>
          <w:marBottom w:val="0"/>
          <w:divBdr>
            <w:top w:val="none" w:sz="0" w:space="0" w:color="auto"/>
            <w:left w:val="none" w:sz="0" w:space="0" w:color="auto"/>
            <w:bottom w:val="none" w:sz="0" w:space="0" w:color="auto"/>
            <w:right w:val="none" w:sz="0" w:space="0" w:color="auto"/>
          </w:divBdr>
        </w:div>
        <w:div w:id="1834300978">
          <w:marLeft w:val="274"/>
          <w:marRight w:val="0"/>
          <w:marTop w:val="0"/>
          <w:marBottom w:val="0"/>
          <w:divBdr>
            <w:top w:val="none" w:sz="0" w:space="0" w:color="auto"/>
            <w:left w:val="none" w:sz="0" w:space="0" w:color="auto"/>
            <w:bottom w:val="none" w:sz="0" w:space="0" w:color="auto"/>
            <w:right w:val="none" w:sz="0" w:space="0" w:color="auto"/>
          </w:divBdr>
        </w:div>
        <w:div w:id="712651770">
          <w:marLeft w:val="274"/>
          <w:marRight w:val="0"/>
          <w:marTop w:val="0"/>
          <w:marBottom w:val="0"/>
          <w:divBdr>
            <w:top w:val="none" w:sz="0" w:space="0" w:color="auto"/>
            <w:left w:val="none" w:sz="0" w:space="0" w:color="auto"/>
            <w:bottom w:val="none" w:sz="0" w:space="0" w:color="auto"/>
            <w:right w:val="none" w:sz="0" w:space="0" w:color="auto"/>
          </w:divBdr>
        </w:div>
        <w:div w:id="991559999">
          <w:marLeft w:val="274"/>
          <w:marRight w:val="0"/>
          <w:marTop w:val="0"/>
          <w:marBottom w:val="0"/>
          <w:divBdr>
            <w:top w:val="none" w:sz="0" w:space="0" w:color="auto"/>
            <w:left w:val="none" w:sz="0" w:space="0" w:color="auto"/>
            <w:bottom w:val="none" w:sz="0" w:space="0" w:color="auto"/>
            <w:right w:val="none" w:sz="0" w:space="0" w:color="auto"/>
          </w:divBdr>
        </w:div>
        <w:div w:id="1976567128">
          <w:marLeft w:val="274"/>
          <w:marRight w:val="0"/>
          <w:marTop w:val="0"/>
          <w:marBottom w:val="0"/>
          <w:divBdr>
            <w:top w:val="none" w:sz="0" w:space="0" w:color="auto"/>
            <w:left w:val="none" w:sz="0" w:space="0" w:color="auto"/>
            <w:bottom w:val="none" w:sz="0" w:space="0" w:color="auto"/>
            <w:right w:val="none" w:sz="0" w:space="0" w:color="auto"/>
          </w:divBdr>
        </w:div>
        <w:div w:id="45036574">
          <w:marLeft w:val="274"/>
          <w:marRight w:val="0"/>
          <w:marTop w:val="0"/>
          <w:marBottom w:val="0"/>
          <w:divBdr>
            <w:top w:val="none" w:sz="0" w:space="0" w:color="auto"/>
            <w:left w:val="none" w:sz="0" w:space="0" w:color="auto"/>
            <w:bottom w:val="none" w:sz="0" w:space="0" w:color="auto"/>
            <w:right w:val="none" w:sz="0" w:space="0" w:color="auto"/>
          </w:divBdr>
        </w:div>
        <w:div w:id="1178353758">
          <w:marLeft w:val="274"/>
          <w:marRight w:val="0"/>
          <w:marTop w:val="0"/>
          <w:marBottom w:val="0"/>
          <w:divBdr>
            <w:top w:val="none" w:sz="0" w:space="0" w:color="auto"/>
            <w:left w:val="none" w:sz="0" w:space="0" w:color="auto"/>
            <w:bottom w:val="none" w:sz="0" w:space="0" w:color="auto"/>
            <w:right w:val="none" w:sz="0" w:space="0" w:color="auto"/>
          </w:divBdr>
        </w:div>
        <w:div w:id="1220823605">
          <w:marLeft w:val="274"/>
          <w:marRight w:val="0"/>
          <w:marTop w:val="0"/>
          <w:marBottom w:val="0"/>
          <w:divBdr>
            <w:top w:val="none" w:sz="0" w:space="0" w:color="auto"/>
            <w:left w:val="none" w:sz="0" w:space="0" w:color="auto"/>
            <w:bottom w:val="none" w:sz="0" w:space="0" w:color="auto"/>
            <w:right w:val="none" w:sz="0" w:space="0" w:color="auto"/>
          </w:divBdr>
        </w:div>
        <w:div w:id="1989892285">
          <w:marLeft w:val="274"/>
          <w:marRight w:val="0"/>
          <w:marTop w:val="0"/>
          <w:marBottom w:val="0"/>
          <w:divBdr>
            <w:top w:val="none" w:sz="0" w:space="0" w:color="auto"/>
            <w:left w:val="none" w:sz="0" w:space="0" w:color="auto"/>
            <w:bottom w:val="none" w:sz="0" w:space="0" w:color="auto"/>
            <w:right w:val="none" w:sz="0" w:space="0" w:color="auto"/>
          </w:divBdr>
        </w:div>
        <w:div w:id="431248514">
          <w:marLeft w:val="274"/>
          <w:marRight w:val="0"/>
          <w:marTop w:val="0"/>
          <w:marBottom w:val="0"/>
          <w:divBdr>
            <w:top w:val="none" w:sz="0" w:space="0" w:color="auto"/>
            <w:left w:val="none" w:sz="0" w:space="0" w:color="auto"/>
            <w:bottom w:val="none" w:sz="0" w:space="0" w:color="auto"/>
            <w:right w:val="none" w:sz="0" w:space="0" w:color="auto"/>
          </w:divBdr>
        </w:div>
        <w:div w:id="1879388361">
          <w:marLeft w:val="274"/>
          <w:marRight w:val="0"/>
          <w:marTop w:val="0"/>
          <w:marBottom w:val="0"/>
          <w:divBdr>
            <w:top w:val="none" w:sz="0" w:space="0" w:color="auto"/>
            <w:left w:val="none" w:sz="0" w:space="0" w:color="auto"/>
            <w:bottom w:val="none" w:sz="0" w:space="0" w:color="auto"/>
            <w:right w:val="none" w:sz="0" w:space="0" w:color="auto"/>
          </w:divBdr>
        </w:div>
        <w:div w:id="999768649">
          <w:marLeft w:val="274"/>
          <w:marRight w:val="0"/>
          <w:marTop w:val="0"/>
          <w:marBottom w:val="0"/>
          <w:divBdr>
            <w:top w:val="none" w:sz="0" w:space="0" w:color="auto"/>
            <w:left w:val="none" w:sz="0" w:space="0" w:color="auto"/>
            <w:bottom w:val="none" w:sz="0" w:space="0" w:color="auto"/>
            <w:right w:val="none" w:sz="0" w:space="0" w:color="auto"/>
          </w:divBdr>
        </w:div>
        <w:div w:id="2075010450">
          <w:marLeft w:val="274"/>
          <w:marRight w:val="0"/>
          <w:marTop w:val="0"/>
          <w:marBottom w:val="0"/>
          <w:divBdr>
            <w:top w:val="none" w:sz="0" w:space="0" w:color="auto"/>
            <w:left w:val="none" w:sz="0" w:space="0" w:color="auto"/>
            <w:bottom w:val="none" w:sz="0" w:space="0" w:color="auto"/>
            <w:right w:val="none" w:sz="0" w:space="0" w:color="auto"/>
          </w:divBdr>
        </w:div>
        <w:div w:id="1305501011">
          <w:marLeft w:val="274"/>
          <w:marRight w:val="0"/>
          <w:marTop w:val="0"/>
          <w:marBottom w:val="0"/>
          <w:divBdr>
            <w:top w:val="none" w:sz="0" w:space="0" w:color="auto"/>
            <w:left w:val="none" w:sz="0" w:space="0" w:color="auto"/>
            <w:bottom w:val="none" w:sz="0" w:space="0" w:color="auto"/>
            <w:right w:val="none" w:sz="0" w:space="0" w:color="auto"/>
          </w:divBdr>
        </w:div>
        <w:div w:id="1699237934">
          <w:marLeft w:val="274"/>
          <w:marRight w:val="0"/>
          <w:marTop w:val="0"/>
          <w:marBottom w:val="0"/>
          <w:divBdr>
            <w:top w:val="none" w:sz="0" w:space="0" w:color="auto"/>
            <w:left w:val="none" w:sz="0" w:space="0" w:color="auto"/>
            <w:bottom w:val="none" w:sz="0" w:space="0" w:color="auto"/>
            <w:right w:val="none" w:sz="0" w:space="0" w:color="auto"/>
          </w:divBdr>
        </w:div>
        <w:div w:id="1348018932">
          <w:marLeft w:val="274"/>
          <w:marRight w:val="0"/>
          <w:marTop w:val="0"/>
          <w:marBottom w:val="0"/>
          <w:divBdr>
            <w:top w:val="none" w:sz="0" w:space="0" w:color="auto"/>
            <w:left w:val="none" w:sz="0" w:space="0" w:color="auto"/>
            <w:bottom w:val="none" w:sz="0" w:space="0" w:color="auto"/>
            <w:right w:val="none" w:sz="0" w:space="0" w:color="auto"/>
          </w:divBdr>
        </w:div>
        <w:div w:id="96365198">
          <w:marLeft w:val="274"/>
          <w:marRight w:val="0"/>
          <w:marTop w:val="0"/>
          <w:marBottom w:val="0"/>
          <w:divBdr>
            <w:top w:val="none" w:sz="0" w:space="0" w:color="auto"/>
            <w:left w:val="none" w:sz="0" w:space="0" w:color="auto"/>
            <w:bottom w:val="none" w:sz="0" w:space="0" w:color="auto"/>
            <w:right w:val="none" w:sz="0" w:space="0" w:color="auto"/>
          </w:divBdr>
        </w:div>
        <w:div w:id="602613510">
          <w:marLeft w:val="274"/>
          <w:marRight w:val="0"/>
          <w:marTop w:val="0"/>
          <w:marBottom w:val="0"/>
          <w:divBdr>
            <w:top w:val="none" w:sz="0" w:space="0" w:color="auto"/>
            <w:left w:val="none" w:sz="0" w:space="0" w:color="auto"/>
            <w:bottom w:val="none" w:sz="0" w:space="0" w:color="auto"/>
            <w:right w:val="none" w:sz="0" w:space="0" w:color="auto"/>
          </w:divBdr>
        </w:div>
        <w:div w:id="1610746386">
          <w:marLeft w:val="274"/>
          <w:marRight w:val="0"/>
          <w:marTop w:val="0"/>
          <w:marBottom w:val="0"/>
          <w:divBdr>
            <w:top w:val="none" w:sz="0" w:space="0" w:color="auto"/>
            <w:left w:val="none" w:sz="0" w:space="0" w:color="auto"/>
            <w:bottom w:val="none" w:sz="0" w:space="0" w:color="auto"/>
            <w:right w:val="none" w:sz="0" w:space="0" w:color="auto"/>
          </w:divBdr>
        </w:div>
        <w:div w:id="2066680829">
          <w:marLeft w:val="274"/>
          <w:marRight w:val="0"/>
          <w:marTop w:val="0"/>
          <w:marBottom w:val="0"/>
          <w:divBdr>
            <w:top w:val="none" w:sz="0" w:space="0" w:color="auto"/>
            <w:left w:val="none" w:sz="0" w:space="0" w:color="auto"/>
            <w:bottom w:val="none" w:sz="0" w:space="0" w:color="auto"/>
            <w:right w:val="none" w:sz="0" w:space="0" w:color="auto"/>
          </w:divBdr>
        </w:div>
        <w:div w:id="487869595">
          <w:marLeft w:val="274"/>
          <w:marRight w:val="0"/>
          <w:marTop w:val="0"/>
          <w:marBottom w:val="0"/>
          <w:divBdr>
            <w:top w:val="none" w:sz="0" w:space="0" w:color="auto"/>
            <w:left w:val="none" w:sz="0" w:space="0" w:color="auto"/>
            <w:bottom w:val="none" w:sz="0" w:space="0" w:color="auto"/>
            <w:right w:val="none" w:sz="0" w:space="0" w:color="auto"/>
          </w:divBdr>
        </w:div>
        <w:div w:id="1489250243">
          <w:marLeft w:val="274"/>
          <w:marRight w:val="0"/>
          <w:marTop w:val="0"/>
          <w:marBottom w:val="0"/>
          <w:divBdr>
            <w:top w:val="none" w:sz="0" w:space="0" w:color="auto"/>
            <w:left w:val="none" w:sz="0" w:space="0" w:color="auto"/>
            <w:bottom w:val="none" w:sz="0" w:space="0" w:color="auto"/>
            <w:right w:val="none" w:sz="0" w:space="0" w:color="auto"/>
          </w:divBdr>
        </w:div>
      </w:divsChild>
    </w:div>
    <w:div w:id="770203356">
      <w:bodyDiv w:val="1"/>
      <w:marLeft w:val="0"/>
      <w:marRight w:val="0"/>
      <w:marTop w:val="0"/>
      <w:marBottom w:val="0"/>
      <w:divBdr>
        <w:top w:val="none" w:sz="0" w:space="0" w:color="auto"/>
        <w:left w:val="none" w:sz="0" w:space="0" w:color="auto"/>
        <w:bottom w:val="none" w:sz="0" w:space="0" w:color="auto"/>
        <w:right w:val="none" w:sz="0" w:space="0" w:color="auto"/>
      </w:divBdr>
    </w:div>
    <w:div w:id="831722135">
      <w:bodyDiv w:val="1"/>
      <w:marLeft w:val="0"/>
      <w:marRight w:val="0"/>
      <w:marTop w:val="0"/>
      <w:marBottom w:val="0"/>
      <w:divBdr>
        <w:top w:val="none" w:sz="0" w:space="0" w:color="auto"/>
        <w:left w:val="none" w:sz="0" w:space="0" w:color="auto"/>
        <w:bottom w:val="none" w:sz="0" w:space="0" w:color="auto"/>
        <w:right w:val="none" w:sz="0" w:space="0" w:color="auto"/>
      </w:divBdr>
    </w:div>
    <w:div w:id="878467334">
      <w:bodyDiv w:val="1"/>
      <w:marLeft w:val="0"/>
      <w:marRight w:val="0"/>
      <w:marTop w:val="0"/>
      <w:marBottom w:val="0"/>
      <w:divBdr>
        <w:top w:val="none" w:sz="0" w:space="0" w:color="auto"/>
        <w:left w:val="none" w:sz="0" w:space="0" w:color="auto"/>
        <w:bottom w:val="none" w:sz="0" w:space="0" w:color="auto"/>
        <w:right w:val="none" w:sz="0" w:space="0" w:color="auto"/>
      </w:divBdr>
    </w:div>
    <w:div w:id="992177402">
      <w:bodyDiv w:val="1"/>
      <w:marLeft w:val="0"/>
      <w:marRight w:val="0"/>
      <w:marTop w:val="0"/>
      <w:marBottom w:val="0"/>
      <w:divBdr>
        <w:top w:val="none" w:sz="0" w:space="0" w:color="auto"/>
        <w:left w:val="none" w:sz="0" w:space="0" w:color="auto"/>
        <w:bottom w:val="none" w:sz="0" w:space="0" w:color="auto"/>
        <w:right w:val="none" w:sz="0" w:space="0" w:color="auto"/>
      </w:divBdr>
    </w:div>
    <w:div w:id="1056507198">
      <w:bodyDiv w:val="1"/>
      <w:marLeft w:val="0"/>
      <w:marRight w:val="0"/>
      <w:marTop w:val="0"/>
      <w:marBottom w:val="0"/>
      <w:divBdr>
        <w:top w:val="none" w:sz="0" w:space="0" w:color="auto"/>
        <w:left w:val="none" w:sz="0" w:space="0" w:color="auto"/>
        <w:bottom w:val="none" w:sz="0" w:space="0" w:color="auto"/>
        <w:right w:val="none" w:sz="0" w:space="0" w:color="auto"/>
      </w:divBdr>
      <w:divsChild>
        <w:div w:id="1724479942">
          <w:marLeft w:val="274"/>
          <w:marRight w:val="0"/>
          <w:marTop w:val="0"/>
          <w:marBottom w:val="0"/>
          <w:divBdr>
            <w:top w:val="none" w:sz="0" w:space="0" w:color="auto"/>
            <w:left w:val="none" w:sz="0" w:space="0" w:color="auto"/>
            <w:bottom w:val="none" w:sz="0" w:space="0" w:color="auto"/>
            <w:right w:val="none" w:sz="0" w:space="0" w:color="auto"/>
          </w:divBdr>
        </w:div>
        <w:div w:id="1555317000">
          <w:marLeft w:val="274"/>
          <w:marRight w:val="0"/>
          <w:marTop w:val="0"/>
          <w:marBottom w:val="0"/>
          <w:divBdr>
            <w:top w:val="none" w:sz="0" w:space="0" w:color="auto"/>
            <w:left w:val="none" w:sz="0" w:space="0" w:color="auto"/>
            <w:bottom w:val="none" w:sz="0" w:space="0" w:color="auto"/>
            <w:right w:val="none" w:sz="0" w:space="0" w:color="auto"/>
          </w:divBdr>
        </w:div>
        <w:div w:id="866872318">
          <w:marLeft w:val="274"/>
          <w:marRight w:val="0"/>
          <w:marTop w:val="0"/>
          <w:marBottom w:val="0"/>
          <w:divBdr>
            <w:top w:val="none" w:sz="0" w:space="0" w:color="auto"/>
            <w:left w:val="none" w:sz="0" w:space="0" w:color="auto"/>
            <w:bottom w:val="none" w:sz="0" w:space="0" w:color="auto"/>
            <w:right w:val="none" w:sz="0" w:space="0" w:color="auto"/>
          </w:divBdr>
        </w:div>
        <w:div w:id="2051344378">
          <w:marLeft w:val="274"/>
          <w:marRight w:val="0"/>
          <w:marTop w:val="0"/>
          <w:marBottom w:val="0"/>
          <w:divBdr>
            <w:top w:val="none" w:sz="0" w:space="0" w:color="auto"/>
            <w:left w:val="none" w:sz="0" w:space="0" w:color="auto"/>
            <w:bottom w:val="none" w:sz="0" w:space="0" w:color="auto"/>
            <w:right w:val="none" w:sz="0" w:space="0" w:color="auto"/>
          </w:divBdr>
        </w:div>
        <w:div w:id="194655404">
          <w:marLeft w:val="274"/>
          <w:marRight w:val="0"/>
          <w:marTop w:val="0"/>
          <w:marBottom w:val="0"/>
          <w:divBdr>
            <w:top w:val="none" w:sz="0" w:space="0" w:color="auto"/>
            <w:left w:val="none" w:sz="0" w:space="0" w:color="auto"/>
            <w:bottom w:val="none" w:sz="0" w:space="0" w:color="auto"/>
            <w:right w:val="none" w:sz="0" w:space="0" w:color="auto"/>
          </w:divBdr>
        </w:div>
        <w:div w:id="971790318">
          <w:marLeft w:val="274"/>
          <w:marRight w:val="0"/>
          <w:marTop w:val="0"/>
          <w:marBottom w:val="0"/>
          <w:divBdr>
            <w:top w:val="none" w:sz="0" w:space="0" w:color="auto"/>
            <w:left w:val="none" w:sz="0" w:space="0" w:color="auto"/>
            <w:bottom w:val="none" w:sz="0" w:space="0" w:color="auto"/>
            <w:right w:val="none" w:sz="0" w:space="0" w:color="auto"/>
          </w:divBdr>
        </w:div>
        <w:div w:id="477958545">
          <w:marLeft w:val="274"/>
          <w:marRight w:val="0"/>
          <w:marTop w:val="0"/>
          <w:marBottom w:val="0"/>
          <w:divBdr>
            <w:top w:val="none" w:sz="0" w:space="0" w:color="auto"/>
            <w:left w:val="none" w:sz="0" w:space="0" w:color="auto"/>
            <w:bottom w:val="none" w:sz="0" w:space="0" w:color="auto"/>
            <w:right w:val="none" w:sz="0" w:space="0" w:color="auto"/>
          </w:divBdr>
        </w:div>
        <w:div w:id="1793207892">
          <w:marLeft w:val="274"/>
          <w:marRight w:val="0"/>
          <w:marTop w:val="0"/>
          <w:marBottom w:val="0"/>
          <w:divBdr>
            <w:top w:val="none" w:sz="0" w:space="0" w:color="auto"/>
            <w:left w:val="none" w:sz="0" w:space="0" w:color="auto"/>
            <w:bottom w:val="none" w:sz="0" w:space="0" w:color="auto"/>
            <w:right w:val="none" w:sz="0" w:space="0" w:color="auto"/>
          </w:divBdr>
        </w:div>
        <w:div w:id="1228031959">
          <w:marLeft w:val="274"/>
          <w:marRight w:val="0"/>
          <w:marTop w:val="0"/>
          <w:marBottom w:val="0"/>
          <w:divBdr>
            <w:top w:val="none" w:sz="0" w:space="0" w:color="auto"/>
            <w:left w:val="none" w:sz="0" w:space="0" w:color="auto"/>
            <w:bottom w:val="none" w:sz="0" w:space="0" w:color="auto"/>
            <w:right w:val="none" w:sz="0" w:space="0" w:color="auto"/>
          </w:divBdr>
        </w:div>
        <w:div w:id="2011173178">
          <w:marLeft w:val="274"/>
          <w:marRight w:val="0"/>
          <w:marTop w:val="0"/>
          <w:marBottom w:val="0"/>
          <w:divBdr>
            <w:top w:val="none" w:sz="0" w:space="0" w:color="auto"/>
            <w:left w:val="none" w:sz="0" w:space="0" w:color="auto"/>
            <w:bottom w:val="none" w:sz="0" w:space="0" w:color="auto"/>
            <w:right w:val="none" w:sz="0" w:space="0" w:color="auto"/>
          </w:divBdr>
        </w:div>
        <w:div w:id="1293512435">
          <w:marLeft w:val="274"/>
          <w:marRight w:val="0"/>
          <w:marTop w:val="0"/>
          <w:marBottom w:val="0"/>
          <w:divBdr>
            <w:top w:val="none" w:sz="0" w:space="0" w:color="auto"/>
            <w:left w:val="none" w:sz="0" w:space="0" w:color="auto"/>
            <w:bottom w:val="none" w:sz="0" w:space="0" w:color="auto"/>
            <w:right w:val="none" w:sz="0" w:space="0" w:color="auto"/>
          </w:divBdr>
        </w:div>
        <w:div w:id="1267232942">
          <w:marLeft w:val="274"/>
          <w:marRight w:val="0"/>
          <w:marTop w:val="0"/>
          <w:marBottom w:val="0"/>
          <w:divBdr>
            <w:top w:val="none" w:sz="0" w:space="0" w:color="auto"/>
            <w:left w:val="none" w:sz="0" w:space="0" w:color="auto"/>
            <w:bottom w:val="none" w:sz="0" w:space="0" w:color="auto"/>
            <w:right w:val="none" w:sz="0" w:space="0" w:color="auto"/>
          </w:divBdr>
        </w:div>
        <w:div w:id="991526084">
          <w:marLeft w:val="274"/>
          <w:marRight w:val="0"/>
          <w:marTop w:val="0"/>
          <w:marBottom w:val="0"/>
          <w:divBdr>
            <w:top w:val="none" w:sz="0" w:space="0" w:color="auto"/>
            <w:left w:val="none" w:sz="0" w:space="0" w:color="auto"/>
            <w:bottom w:val="none" w:sz="0" w:space="0" w:color="auto"/>
            <w:right w:val="none" w:sz="0" w:space="0" w:color="auto"/>
          </w:divBdr>
        </w:div>
        <w:div w:id="2137678747">
          <w:marLeft w:val="274"/>
          <w:marRight w:val="0"/>
          <w:marTop w:val="0"/>
          <w:marBottom w:val="0"/>
          <w:divBdr>
            <w:top w:val="none" w:sz="0" w:space="0" w:color="auto"/>
            <w:left w:val="none" w:sz="0" w:space="0" w:color="auto"/>
            <w:bottom w:val="none" w:sz="0" w:space="0" w:color="auto"/>
            <w:right w:val="none" w:sz="0" w:space="0" w:color="auto"/>
          </w:divBdr>
        </w:div>
        <w:div w:id="999967729">
          <w:marLeft w:val="274"/>
          <w:marRight w:val="0"/>
          <w:marTop w:val="0"/>
          <w:marBottom w:val="0"/>
          <w:divBdr>
            <w:top w:val="none" w:sz="0" w:space="0" w:color="auto"/>
            <w:left w:val="none" w:sz="0" w:space="0" w:color="auto"/>
            <w:bottom w:val="none" w:sz="0" w:space="0" w:color="auto"/>
            <w:right w:val="none" w:sz="0" w:space="0" w:color="auto"/>
          </w:divBdr>
        </w:div>
      </w:divsChild>
    </w:div>
    <w:div w:id="1064336702">
      <w:bodyDiv w:val="1"/>
      <w:marLeft w:val="0"/>
      <w:marRight w:val="0"/>
      <w:marTop w:val="0"/>
      <w:marBottom w:val="0"/>
      <w:divBdr>
        <w:top w:val="none" w:sz="0" w:space="0" w:color="auto"/>
        <w:left w:val="none" w:sz="0" w:space="0" w:color="auto"/>
        <w:bottom w:val="none" w:sz="0" w:space="0" w:color="auto"/>
        <w:right w:val="none" w:sz="0" w:space="0" w:color="auto"/>
      </w:divBdr>
    </w:div>
    <w:div w:id="1178622179">
      <w:bodyDiv w:val="1"/>
      <w:marLeft w:val="0"/>
      <w:marRight w:val="0"/>
      <w:marTop w:val="0"/>
      <w:marBottom w:val="0"/>
      <w:divBdr>
        <w:top w:val="none" w:sz="0" w:space="0" w:color="auto"/>
        <w:left w:val="none" w:sz="0" w:space="0" w:color="auto"/>
        <w:bottom w:val="none" w:sz="0" w:space="0" w:color="auto"/>
        <w:right w:val="none" w:sz="0" w:space="0" w:color="auto"/>
      </w:divBdr>
    </w:div>
    <w:div w:id="1404912909">
      <w:bodyDiv w:val="1"/>
      <w:marLeft w:val="0"/>
      <w:marRight w:val="0"/>
      <w:marTop w:val="0"/>
      <w:marBottom w:val="0"/>
      <w:divBdr>
        <w:top w:val="none" w:sz="0" w:space="0" w:color="auto"/>
        <w:left w:val="none" w:sz="0" w:space="0" w:color="auto"/>
        <w:bottom w:val="none" w:sz="0" w:space="0" w:color="auto"/>
        <w:right w:val="none" w:sz="0" w:space="0" w:color="auto"/>
      </w:divBdr>
    </w:div>
    <w:div w:id="1568808264">
      <w:bodyDiv w:val="1"/>
      <w:marLeft w:val="0"/>
      <w:marRight w:val="0"/>
      <w:marTop w:val="0"/>
      <w:marBottom w:val="0"/>
      <w:divBdr>
        <w:top w:val="none" w:sz="0" w:space="0" w:color="auto"/>
        <w:left w:val="none" w:sz="0" w:space="0" w:color="auto"/>
        <w:bottom w:val="none" w:sz="0" w:space="0" w:color="auto"/>
        <w:right w:val="none" w:sz="0" w:space="0" w:color="auto"/>
      </w:divBdr>
    </w:div>
    <w:div w:id="1645693035">
      <w:bodyDiv w:val="1"/>
      <w:marLeft w:val="0"/>
      <w:marRight w:val="0"/>
      <w:marTop w:val="0"/>
      <w:marBottom w:val="0"/>
      <w:divBdr>
        <w:top w:val="none" w:sz="0" w:space="0" w:color="auto"/>
        <w:left w:val="none" w:sz="0" w:space="0" w:color="auto"/>
        <w:bottom w:val="none" w:sz="0" w:space="0" w:color="auto"/>
        <w:right w:val="none" w:sz="0" w:space="0" w:color="auto"/>
      </w:divBdr>
    </w:div>
    <w:div w:id="1743288841">
      <w:bodyDiv w:val="1"/>
      <w:marLeft w:val="0"/>
      <w:marRight w:val="0"/>
      <w:marTop w:val="0"/>
      <w:marBottom w:val="0"/>
      <w:divBdr>
        <w:top w:val="none" w:sz="0" w:space="0" w:color="auto"/>
        <w:left w:val="none" w:sz="0" w:space="0" w:color="auto"/>
        <w:bottom w:val="none" w:sz="0" w:space="0" w:color="auto"/>
        <w:right w:val="none" w:sz="0" w:space="0" w:color="auto"/>
      </w:divBdr>
    </w:div>
    <w:div w:id="1803184173">
      <w:bodyDiv w:val="1"/>
      <w:marLeft w:val="0"/>
      <w:marRight w:val="0"/>
      <w:marTop w:val="0"/>
      <w:marBottom w:val="0"/>
      <w:divBdr>
        <w:top w:val="none" w:sz="0" w:space="0" w:color="auto"/>
        <w:left w:val="none" w:sz="0" w:space="0" w:color="auto"/>
        <w:bottom w:val="none" w:sz="0" w:space="0" w:color="auto"/>
        <w:right w:val="none" w:sz="0" w:space="0" w:color="auto"/>
      </w:divBdr>
      <w:divsChild>
        <w:div w:id="1506017399">
          <w:marLeft w:val="274"/>
          <w:marRight w:val="0"/>
          <w:marTop w:val="0"/>
          <w:marBottom w:val="0"/>
          <w:divBdr>
            <w:top w:val="none" w:sz="0" w:space="0" w:color="auto"/>
            <w:left w:val="none" w:sz="0" w:space="0" w:color="auto"/>
            <w:bottom w:val="none" w:sz="0" w:space="0" w:color="auto"/>
            <w:right w:val="none" w:sz="0" w:space="0" w:color="auto"/>
          </w:divBdr>
        </w:div>
        <w:div w:id="411586345">
          <w:marLeft w:val="274"/>
          <w:marRight w:val="0"/>
          <w:marTop w:val="0"/>
          <w:marBottom w:val="0"/>
          <w:divBdr>
            <w:top w:val="none" w:sz="0" w:space="0" w:color="auto"/>
            <w:left w:val="none" w:sz="0" w:space="0" w:color="auto"/>
            <w:bottom w:val="none" w:sz="0" w:space="0" w:color="auto"/>
            <w:right w:val="none" w:sz="0" w:space="0" w:color="auto"/>
          </w:divBdr>
        </w:div>
        <w:div w:id="1905988227">
          <w:marLeft w:val="274"/>
          <w:marRight w:val="0"/>
          <w:marTop w:val="0"/>
          <w:marBottom w:val="0"/>
          <w:divBdr>
            <w:top w:val="none" w:sz="0" w:space="0" w:color="auto"/>
            <w:left w:val="none" w:sz="0" w:space="0" w:color="auto"/>
            <w:bottom w:val="none" w:sz="0" w:space="0" w:color="auto"/>
            <w:right w:val="none" w:sz="0" w:space="0" w:color="auto"/>
          </w:divBdr>
        </w:div>
        <w:div w:id="1922176348">
          <w:marLeft w:val="274"/>
          <w:marRight w:val="0"/>
          <w:marTop w:val="0"/>
          <w:marBottom w:val="0"/>
          <w:divBdr>
            <w:top w:val="none" w:sz="0" w:space="0" w:color="auto"/>
            <w:left w:val="none" w:sz="0" w:space="0" w:color="auto"/>
            <w:bottom w:val="none" w:sz="0" w:space="0" w:color="auto"/>
            <w:right w:val="none" w:sz="0" w:space="0" w:color="auto"/>
          </w:divBdr>
        </w:div>
        <w:div w:id="2008627484">
          <w:marLeft w:val="274"/>
          <w:marRight w:val="0"/>
          <w:marTop w:val="0"/>
          <w:marBottom w:val="0"/>
          <w:divBdr>
            <w:top w:val="none" w:sz="0" w:space="0" w:color="auto"/>
            <w:left w:val="none" w:sz="0" w:space="0" w:color="auto"/>
            <w:bottom w:val="none" w:sz="0" w:space="0" w:color="auto"/>
            <w:right w:val="none" w:sz="0" w:space="0" w:color="auto"/>
          </w:divBdr>
        </w:div>
        <w:div w:id="1971663877">
          <w:marLeft w:val="274"/>
          <w:marRight w:val="0"/>
          <w:marTop w:val="0"/>
          <w:marBottom w:val="0"/>
          <w:divBdr>
            <w:top w:val="none" w:sz="0" w:space="0" w:color="auto"/>
            <w:left w:val="none" w:sz="0" w:space="0" w:color="auto"/>
            <w:bottom w:val="none" w:sz="0" w:space="0" w:color="auto"/>
            <w:right w:val="none" w:sz="0" w:space="0" w:color="auto"/>
          </w:divBdr>
        </w:div>
        <w:div w:id="1918467551">
          <w:marLeft w:val="274"/>
          <w:marRight w:val="0"/>
          <w:marTop w:val="0"/>
          <w:marBottom w:val="0"/>
          <w:divBdr>
            <w:top w:val="none" w:sz="0" w:space="0" w:color="auto"/>
            <w:left w:val="none" w:sz="0" w:space="0" w:color="auto"/>
            <w:bottom w:val="none" w:sz="0" w:space="0" w:color="auto"/>
            <w:right w:val="none" w:sz="0" w:space="0" w:color="auto"/>
          </w:divBdr>
        </w:div>
        <w:div w:id="1566794679">
          <w:marLeft w:val="274"/>
          <w:marRight w:val="0"/>
          <w:marTop w:val="0"/>
          <w:marBottom w:val="0"/>
          <w:divBdr>
            <w:top w:val="none" w:sz="0" w:space="0" w:color="auto"/>
            <w:left w:val="none" w:sz="0" w:space="0" w:color="auto"/>
            <w:bottom w:val="none" w:sz="0" w:space="0" w:color="auto"/>
            <w:right w:val="none" w:sz="0" w:space="0" w:color="auto"/>
          </w:divBdr>
        </w:div>
        <w:div w:id="257102418">
          <w:marLeft w:val="274"/>
          <w:marRight w:val="0"/>
          <w:marTop w:val="0"/>
          <w:marBottom w:val="0"/>
          <w:divBdr>
            <w:top w:val="none" w:sz="0" w:space="0" w:color="auto"/>
            <w:left w:val="none" w:sz="0" w:space="0" w:color="auto"/>
            <w:bottom w:val="none" w:sz="0" w:space="0" w:color="auto"/>
            <w:right w:val="none" w:sz="0" w:space="0" w:color="auto"/>
          </w:divBdr>
        </w:div>
        <w:div w:id="545683496">
          <w:marLeft w:val="274"/>
          <w:marRight w:val="0"/>
          <w:marTop w:val="0"/>
          <w:marBottom w:val="0"/>
          <w:divBdr>
            <w:top w:val="none" w:sz="0" w:space="0" w:color="auto"/>
            <w:left w:val="none" w:sz="0" w:space="0" w:color="auto"/>
            <w:bottom w:val="none" w:sz="0" w:space="0" w:color="auto"/>
            <w:right w:val="none" w:sz="0" w:space="0" w:color="auto"/>
          </w:divBdr>
        </w:div>
        <w:div w:id="189806795">
          <w:marLeft w:val="274"/>
          <w:marRight w:val="0"/>
          <w:marTop w:val="0"/>
          <w:marBottom w:val="0"/>
          <w:divBdr>
            <w:top w:val="none" w:sz="0" w:space="0" w:color="auto"/>
            <w:left w:val="none" w:sz="0" w:space="0" w:color="auto"/>
            <w:bottom w:val="none" w:sz="0" w:space="0" w:color="auto"/>
            <w:right w:val="none" w:sz="0" w:space="0" w:color="auto"/>
          </w:divBdr>
        </w:div>
        <w:div w:id="321933722">
          <w:marLeft w:val="274"/>
          <w:marRight w:val="0"/>
          <w:marTop w:val="0"/>
          <w:marBottom w:val="0"/>
          <w:divBdr>
            <w:top w:val="none" w:sz="0" w:space="0" w:color="auto"/>
            <w:left w:val="none" w:sz="0" w:space="0" w:color="auto"/>
            <w:bottom w:val="none" w:sz="0" w:space="0" w:color="auto"/>
            <w:right w:val="none" w:sz="0" w:space="0" w:color="auto"/>
          </w:divBdr>
        </w:div>
        <w:div w:id="1260212579">
          <w:marLeft w:val="274"/>
          <w:marRight w:val="0"/>
          <w:marTop w:val="0"/>
          <w:marBottom w:val="0"/>
          <w:divBdr>
            <w:top w:val="none" w:sz="0" w:space="0" w:color="auto"/>
            <w:left w:val="none" w:sz="0" w:space="0" w:color="auto"/>
            <w:bottom w:val="none" w:sz="0" w:space="0" w:color="auto"/>
            <w:right w:val="none" w:sz="0" w:space="0" w:color="auto"/>
          </w:divBdr>
        </w:div>
        <w:div w:id="1321618852">
          <w:marLeft w:val="274"/>
          <w:marRight w:val="0"/>
          <w:marTop w:val="0"/>
          <w:marBottom w:val="0"/>
          <w:divBdr>
            <w:top w:val="none" w:sz="0" w:space="0" w:color="auto"/>
            <w:left w:val="none" w:sz="0" w:space="0" w:color="auto"/>
            <w:bottom w:val="none" w:sz="0" w:space="0" w:color="auto"/>
            <w:right w:val="none" w:sz="0" w:space="0" w:color="auto"/>
          </w:divBdr>
        </w:div>
        <w:div w:id="461001006">
          <w:marLeft w:val="274"/>
          <w:marRight w:val="0"/>
          <w:marTop w:val="0"/>
          <w:marBottom w:val="0"/>
          <w:divBdr>
            <w:top w:val="none" w:sz="0" w:space="0" w:color="auto"/>
            <w:left w:val="none" w:sz="0" w:space="0" w:color="auto"/>
            <w:bottom w:val="none" w:sz="0" w:space="0" w:color="auto"/>
            <w:right w:val="none" w:sz="0" w:space="0" w:color="auto"/>
          </w:divBdr>
        </w:div>
        <w:div w:id="1715349478">
          <w:marLeft w:val="274"/>
          <w:marRight w:val="0"/>
          <w:marTop w:val="0"/>
          <w:marBottom w:val="0"/>
          <w:divBdr>
            <w:top w:val="none" w:sz="0" w:space="0" w:color="auto"/>
            <w:left w:val="none" w:sz="0" w:space="0" w:color="auto"/>
            <w:bottom w:val="none" w:sz="0" w:space="0" w:color="auto"/>
            <w:right w:val="none" w:sz="0" w:space="0" w:color="auto"/>
          </w:divBdr>
        </w:div>
        <w:div w:id="534663328">
          <w:marLeft w:val="274"/>
          <w:marRight w:val="0"/>
          <w:marTop w:val="0"/>
          <w:marBottom w:val="0"/>
          <w:divBdr>
            <w:top w:val="none" w:sz="0" w:space="0" w:color="auto"/>
            <w:left w:val="none" w:sz="0" w:space="0" w:color="auto"/>
            <w:bottom w:val="none" w:sz="0" w:space="0" w:color="auto"/>
            <w:right w:val="none" w:sz="0" w:space="0" w:color="auto"/>
          </w:divBdr>
        </w:div>
      </w:divsChild>
    </w:div>
    <w:div w:id="1889029240">
      <w:bodyDiv w:val="1"/>
      <w:marLeft w:val="0"/>
      <w:marRight w:val="0"/>
      <w:marTop w:val="0"/>
      <w:marBottom w:val="0"/>
      <w:divBdr>
        <w:top w:val="none" w:sz="0" w:space="0" w:color="auto"/>
        <w:left w:val="none" w:sz="0" w:space="0" w:color="auto"/>
        <w:bottom w:val="none" w:sz="0" w:space="0" w:color="auto"/>
        <w:right w:val="none" w:sz="0" w:space="0" w:color="auto"/>
      </w:divBdr>
    </w:div>
    <w:div w:id="1903179796">
      <w:bodyDiv w:val="1"/>
      <w:marLeft w:val="0"/>
      <w:marRight w:val="0"/>
      <w:marTop w:val="0"/>
      <w:marBottom w:val="0"/>
      <w:divBdr>
        <w:top w:val="none" w:sz="0" w:space="0" w:color="auto"/>
        <w:left w:val="none" w:sz="0" w:space="0" w:color="auto"/>
        <w:bottom w:val="none" w:sz="0" w:space="0" w:color="auto"/>
        <w:right w:val="none" w:sz="0" w:space="0" w:color="auto"/>
      </w:divBdr>
    </w:div>
    <w:div w:id="1957368867">
      <w:bodyDiv w:val="1"/>
      <w:marLeft w:val="0"/>
      <w:marRight w:val="0"/>
      <w:marTop w:val="0"/>
      <w:marBottom w:val="0"/>
      <w:divBdr>
        <w:top w:val="none" w:sz="0" w:space="0" w:color="auto"/>
        <w:left w:val="none" w:sz="0" w:space="0" w:color="auto"/>
        <w:bottom w:val="none" w:sz="0" w:space="0" w:color="auto"/>
        <w:right w:val="none" w:sz="0" w:space="0" w:color="auto"/>
      </w:divBdr>
    </w:div>
    <w:div w:id="1992521680">
      <w:bodyDiv w:val="1"/>
      <w:marLeft w:val="0"/>
      <w:marRight w:val="0"/>
      <w:marTop w:val="0"/>
      <w:marBottom w:val="0"/>
      <w:divBdr>
        <w:top w:val="none" w:sz="0" w:space="0" w:color="auto"/>
        <w:left w:val="none" w:sz="0" w:space="0" w:color="auto"/>
        <w:bottom w:val="none" w:sz="0" w:space="0" w:color="auto"/>
        <w:right w:val="none" w:sz="0" w:space="0" w:color="auto"/>
      </w:divBdr>
    </w:div>
    <w:div w:id="20746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0710b9-8e3a-410a-a067-2e7a75552ee4">
      <Terms xmlns="http://schemas.microsoft.com/office/infopath/2007/PartnerControls"/>
    </lcf76f155ced4ddcb4097134ff3c332f>
    <TaxCatchAll xmlns="8c1408d2-3029-4106-99b1-101f619fb8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6E48444C1CC4C90D8D146661F4E55" ma:contentTypeVersion="12" ma:contentTypeDescription="Create a new document." ma:contentTypeScope="" ma:versionID="de63e9e08cc2ec4cfd8de636f989e43b">
  <xsd:schema xmlns:xsd="http://www.w3.org/2001/XMLSchema" xmlns:xs="http://www.w3.org/2001/XMLSchema" xmlns:p="http://schemas.microsoft.com/office/2006/metadata/properties" xmlns:ns2="ca0710b9-8e3a-410a-a067-2e7a75552ee4" xmlns:ns3="8c1408d2-3029-4106-99b1-101f619fb8fc" targetNamespace="http://schemas.microsoft.com/office/2006/metadata/properties" ma:root="true" ma:fieldsID="d0b28ca4cf36ebb3b4fa0d16100642c9" ns2:_="" ns3:_="">
    <xsd:import namespace="ca0710b9-8e3a-410a-a067-2e7a75552ee4"/>
    <xsd:import namespace="8c1408d2-3029-4106-99b1-101f619fb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10b9-8e3a-410a-a067-2e7a75552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30aa7a-1173-4a8f-8fff-517453f034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408d2-3029-4106-99b1-101f619fb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91a4d1-2355-40c1-bc1a-2f9bf6820465}" ma:internalName="TaxCatchAll" ma:showField="CatchAllData" ma:web="8c1408d2-3029-4106-99b1-101f619fb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62FDC-D033-4484-8811-9A1CBD031DEA}">
  <ds:schemaRefs>
    <ds:schemaRef ds:uri="http://schemas.microsoft.com/office/2006/metadata/properties"/>
    <ds:schemaRef ds:uri="http://schemas.microsoft.com/office/infopath/2007/PartnerControls"/>
    <ds:schemaRef ds:uri="ca0710b9-8e3a-410a-a067-2e7a75552ee4"/>
    <ds:schemaRef ds:uri="8c1408d2-3029-4106-99b1-101f619fb8fc"/>
  </ds:schemaRefs>
</ds:datastoreItem>
</file>

<file path=customXml/itemProps2.xml><?xml version="1.0" encoding="utf-8"?>
<ds:datastoreItem xmlns:ds="http://schemas.openxmlformats.org/officeDocument/2006/customXml" ds:itemID="{3D35FF1C-18A4-4A60-87BC-AD8C4D209F97}">
  <ds:schemaRefs>
    <ds:schemaRef ds:uri="http://schemas.microsoft.com/sharepoint/v3/contenttype/forms"/>
  </ds:schemaRefs>
</ds:datastoreItem>
</file>

<file path=customXml/itemProps3.xml><?xml version="1.0" encoding="utf-8"?>
<ds:datastoreItem xmlns:ds="http://schemas.openxmlformats.org/officeDocument/2006/customXml" ds:itemID="{85006857-831D-4AC5-B554-AB20B1DE7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10b9-8e3a-410a-a067-2e7a75552ee4"/>
    <ds:schemaRef ds:uri="8c1408d2-3029-4106-99b1-101f619fb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2698</Words>
  <Characters>14251</Characters>
  <Application>Microsoft Office Word</Application>
  <DocSecurity>0</DocSecurity>
  <Lines>1187</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Iyer, Mayura</dc:creator>
  <cp:keywords/>
  <dc:description/>
  <cp:lastModifiedBy>Ricker, Brad</cp:lastModifiedBy>
  <cp:revision>2</cp:revision>
  <dcterms:created xsi:type="dcterms:W3CDTF">2023-01-19T22:15:00Z</dcterms:created>
  <dcterms:modified xsi:type="dcterms:W3CDTF">2023-01-19T22:15:00Z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0x01010052E6E48444C1CC4C90D8D146661F4E55</vt:lpwstr>
  </property>
</Properties>
</file>